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784" w:rsidRPr="000E26BC" w:rsidRDefault="00783784" w:rsidP="00783784">
      <w:pPr>
        <w:keepNext/>
        <w:keepLines/>
        <w:numPr>
          <w:ilvl w:val="3"/>
          <w:numId w:val="1"/>
        </w:numPr>
        <w:spacing w:before="120" w:after="120" w:line="245" w:lineRule="auto"/>
        <w:ind w:left="1723" w:hanging="646"/>
        <w:jc w:val="both"/>
        <w:outlineLvl w:val="2"/>
        <w:rPr>
          <w:rFonts w:ascii="Times New Roman" w:eastAsia="Times New Roman" w:hAnsi="Times New Roman"/>
          <w:b/>
          <w:sz w:val="24"/>
          <w:szCs w:val="24"/>
        </w:rPr>
      </w:pPr>
      <w:bookmarkStart w:id="0" w:name="_Toc43196316"/>
      <w:r w:rsidRPr="000E26BC">
        <w:rPr>
          <w:rFonts w:ascii="Times New Roman" w:eastAsia="Times New Roman" w:hAnsi="Times New Roman"/>
          <w:b/>
          <w:sz w:val="24"/>
          <w:szCs w:val="24"/>
        </w:rPr>
        <w:t xml:space="preserve">Обоснование </w:t>
      </w:r>
      <w:r>
        <w:rPr>
          <w:rFonts w:ascii="Times New Roman" w:eastAsia="Times New Roman" w:hAnsi="Times New Roman"/>
          <w:b/>
          <w:sz w:val="24"/>
          <w:szCs w:val="24"/>
        </w:rPr>
        <w:t>подходов и методов</w:t>
      </w:r>
      <w:r w:rsidRPr="000E26BC">
        <w:rPr>
          <w:rFonts w:ascii="Times New Roman" w:eastAsia="Times New Roman" w:hAnsi="Times New Roman"/>
          <w:b/>
          <w:sz w:val="24"/>
          <w:szCs w:val="24"/>
        </w:rPr>
        <w:t xml:space="preserve"> оценки кадастровой стоимости</w:t>
      </w:r>
      <w:bookmarkEnd w:id="0"/>
      <w:r w:rsidRPr="000E26BC">
        <w:rPr>
          <w:rFonts w:ascii="Times New Roman" w:eastAsia="Times New Roman" w:hAnsi="Times New Roman"/>
          <w:b/>
          <w:sz w:val="24"/>
          <w:szCs w:val="24"/>
        </w:rPr>
        <w:t xml:space="preserve"> </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В соответствии с Методическими указаниями при определении кадастровой стоимости используются методы массовой оценки, при которых осуществляется построение единых для групп объектов оценки, имеющих схожие характеристики, моделей определения кадастровой стоимости. При невозможности применения методов массовой оценки определение кадастровой стоимости осуществляется индивидуально в отношении объектов оценки (п. 8.1. Методических указаний).</w:t>
      </w:r>
    </w:p>
    <w:p w:rsidR="00783784"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Применение методов массовой оценки для целей Методических указаний предполагает определение кадастровой стоимости путем группирования объектов недвижимости. При этом для оценки используются сравнительный, и (или) затратный, и (или) доходный подходы к оценке.</w:t>
      </w:r>
    </w:p>
    <w:p w:rsidR="00783784" w:rsidRPr="000E26BC" w:rsidRDefault="00783784" w:rsidP="00783784">
      <w:pPr>
        <w:spacing w:after="0" w:line="240" w:lineRule="auto"/>
        <w:ind w:firstLine="720"/>
        <w:jc w:val="both"/>
        <w:rPr>
          <w:rFonts w:ascii="Times New Roman" w:hAnsi="Times New Roman"/>
          <w:b/>
          <w:sz w:val="24"/>
          <w:lang w:eastAsia="ru-RU"/>
        </w:rPr>
      </w:pPr>
      <w:r w:rsidRPr="000E26BC">
        <w:rPr>
          <w:rFonts w:ascii="Times New Roman" w:hAnsi="Times New Roman"/>
          <w:b/>
          <w:sz w:val="24"/>
          <w:lang w:eastAsia="ru-RU"/>
        </w:rPr>
        <w:t>Доходный подход</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Доходный подход – совокупность методов оценки, основанных на определении ожидаемых доходов от использования объекта оценки.</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Доходный подход рекомендуется применять, когда существует достоверная информация, позволяющая прогнозировать будущие доходы, которые объект оценки способен приносить, а также связанные с объектом оценки расходы.</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В рамках доходного подхода применяются различные методы, основанные на дисконтировании денежных потоков и капитализации дохода.</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 xml:space="preserve">Доходный подход позволяет рассчитать стоимость объекта путем пересчета ожидаемых будущих доходов в оценку их стоимости в настоящее время. В этом отношении данный процесс очень похож на любой процесс установления цен на рынках капитала. Инвестор сегодня приобретает приносящий доход объект в обмен на право получать в дальнейшем доход от его эксплуатации (например, от сдачи в аренду) и от последующей продажи. </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Доходный подход применим для объектов, по которым либо развит и прозрачен рынок аренды, либо есть возможность другими способами определить величину дохода, приносимого объектом.</w:t>
      </w:r>
    </w:p>
    <w:p w:rsidR="00783784" w:rsidRPr="000E26BC" w:rsidRDefault="00783784" w:rsidP="00783784">
      <w:pPr>
        <w:spacing w:after="0" w:line="240" w:lineRule="auto"/>
        <w:ind w:firstLine="720"/>
        <w:jc w:val="both"/>
        <w:rPr>
          <w:rFonts w:ascii="Times New Roman" w:hAnsi="Times New Roman"/>
          <w:b/>
          <w:sz w:val="24"/>
          <w:lang w:eastAsia="ru-RU"/>
        </w:rPr>
      </w:pPr>
      <w:r w:rsidRPr="000E26BC">
        <w:rPr>
          <w:rFonts w:ascii="Times New Roman" w:hAnsi="Times New Roman"/>
          <w:b/>
          <w:sz w:val="24"/>
          <w:lang w:eastAsia="ru-RU"/>
        </w:rPr>
        <w:t>Затратный подход</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Затратный подход – совокупность методов оценки стоимости объекта оценки, основанных на определении затрат, необходимых для приобретения, воспроизводства либо замещения объекта оценки с учетом износа и устареваний.</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Затратный подход преимущественно применяется в тех случаях, когда существует достоверная информация, позволяющая определить затраты на приобретение, воспроизводство либо замещение объекта оценки.</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 xml:space="preserve">В рамках затратного подхода применяются различные методы, основанные на определении затрат на создание точной копии объекта оценки или объекта, имеющего аналогичные полезные свойства. В основе затратного подхода лежит принцип замещения, согласно которому типичный покупатель не станет платить за оцениваемый объект сумму большую той, за которую можно купить или создать (с учетом стоимости денег во времени) другой объект равной полезности. </w:t>
      </w:r>
    </w:p>
    <w:p w:rsidR="00783784" w:rsidRPr="000E26BC" w:rsidRDefault="00783784" w:rsidP="00783784">
      <w:pPr>
        <w:spacing w:after="0" w:line="240" w:lineRule="auto"/>
        <w:ind w:firstLine="720"/>
        <w:jc w:val="both"/>
        <w:rPr>
          <w:rFonts w:ascii="Times New Roman" w:hAnsi="Times New Roman"/>
          <w:b/>
          <w:sz w:val="24"/>
          <w:lang w:eastAsia="ru-RU"/>
        </w:rPr>
      </w:pPr>
      <w:bookmarkStart w:id="1" w:name="_Ref435374265"/>
      <w:bookmarkStart w:id="2" w:name="_Toc436149073"/>
      <w:r w:rsidRPr="000E26BC">
        <w:rPr>
          <w:rFonts w:ascii="Times New Roman" w:hAnsi="Times New Roman"/>
          <w:b/>
          <w:sz w:val="24"/>
          <w:lang w:eastAsia="ru-RU"/>
        </w:rPr>
        <w:t>Сравнительный подход</w:t>
      </w:r>
      <w:bookmarkEnd w:id="1"/>
      <w:bookmarkEnd w:id="2"/>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Сравнительный подход – совокупность методов оценки, основанных на получении стоимости объекта оценки путем сравнения оцениваемого объекта с объектами-аналогами.</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Сравнительный подход рекомендуется применять, когда доступна достоверная и достаточная для анализа информация о ценах и характеристиках объектов-аналогов. При этом могут применяться как цены совершенных сделок, так и цены предложений.</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В рамках сравнительного подхода применяются различные методы, основанные как на прямом сопоставлении оцениваемого объекта и объектов-аналогов, так и методы, основанные на анализе статистических данных и информации о рынке объекта оценки.</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Процедура оценки в рамках данного подхода основывается на сравнении объекта оценки с сопоставимыми объектами, которые были недавно проданы или включены в листинг на продажу, с внесением корректировок по тем параметрам, в отношении которых объекты отличаются друг от друга. Данные параметры носят название элементов сравнения и выступают ценообразующими факторами объектов-аналогов и объектов оценки.</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lastRenderedPageBreak/>
        <w:t xml:space="preserve">Выбор подхода или обоснованный отказ от его использования осуществляется исходя из особенностей вида разрешенного использования, назначения объектов оценки, а также достаточности и достоверности располагаемой рыночной информации.  </w:t>
      </w:r>
    </w:p>
    <w:p w:rsidR="00783784" w:rsidRPr="00A34377"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 xml:space="preserve">В соответствии с пп. 7.1.1. Методических указаний сравнительный подход основан на сравнении цен сделок (предложений) по аналогичным объектам недвижимости. Сравнительному подходу отдается предпочтение перед другими подходами к оценке при развитости рынка объектов недвижимости и при достаточности и репрезентативности информации о сделках (предложениях) с объектами недвижимости. </w:t>
      </w:r>
      <w:r w:rsidRPr="00A34377">
        <w:rPr>
          <w:rFonts w:ascii="Times New Roman" w:hAnsi="Times New Roman"/>
          <w:sz w:val="24"/>
          <w:lang w:eastAsia="ru-RU"/>
        </w:rPr>
        <w:t>Сравнительный подход применяется, когда доступна достоверная и достаточная для анализа информация о ценах и характеристиках объектов-аналогов. При этом могут применяться как цены совершенных сделок, так и цены предложений.</w:t>
      </w:r>
    </w:p>
    <w:p w:rsidR="00783784"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t>В соответствии с пп. 7.1.2. Методических указаний затратный подход основан на определении затрат, необходимых для приобретения, воспроизводства или замещения объекта недвижимости. Затратный подход используется при определении кадастровой стоимости объектов капитального строительства.</w:t>
      </w:r>
    </w:p>
    <w:p w:rsidR="00783784" w:rsidRPr="000E26BC" w:rsidRDefault="00783784" w:rsidP="00783784">
      <w:pPr>
        <w:spacing w:after="0"/>
        <w:ind w:firstLine="709"/>
        <w:jc w:val="both"/>
        <w:rPr>
          <w:rFonts w:ascii="Times New Roman" w:hAnsi="Times New Roman"/>
          <w:sz w:val="24"/>
          <w:szCs w:val="24"/>
        </w:rPr>
      </w:pPr>
      <w:r w:rsidRPr="001A0189">
        <w:rPr>
          <w:rFonts w:ascii="Times New Roman" w:hAnsi="Times New Roman"/>
          <w:sz w:val="24"/>
          <w:szCs w:val="24"/>
        </w:rPr>
        <w:t>Затратный подход</w:t>
      </w:r>
      <w:r w:rsidRPr="000E26BC">
        <w:rPr>
          <w:rFonts w:ascii="Times New Roman" w:hAnsi="Times New Roman"/>
          <w:sz w:val="24"/>
          <w:szCs w:val="24"/>
        </w:rPr>
        <w:t xml:space="preserve"> основывается на принципе замещения, который гласит, что покупатель не заплатит за объект больше той суммы, которую нужно будет потратить на приобретение другого объекта, аналогичного по своим потребительским характеристикам объекту оценки. </w:t>
      </w:r>
    </w:p>
    <w:p w:rsidR="00783784"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 xml:space="preserve">В рамках затратного подхода для объектов недвижимости определяются затраты на новое строительство без учета износа, далее определяется величина накопленного износа, затраты на строительство уменьшаются на величину накопленного износа. В случае оценки единого объекта недвижимости к полученной стоимости прибавляется стоимость земельного участка, на котором располагается объект, в результате чего определяется стоимость объекта оценки. </w:t>
      </w:r>
    </w:p>
    <w:p w:rsidR="00783784" w:rsidRPr="001E5DF0" w:rsidRDefault="00783784" w:rsidP="00783784">
      <w:pPr>
        <w:spacing w:after="0"/>
        <w:ind w:firstLine="709"/>
        <w:jc w:val="both"/>
        <w:rPr>
          <w:rFonts w:ascii="Times New Roman" w:hAnsi="Times New Roman"/>
          <w:sz w:val="24"/>
          <w:szCs w:val="24"/>
        </w:rPr>
      </w:pPr>
      <w:r w:rsidRPr="001E5DF0">
        <w:rPr>
          <w:rFonts w:ascii="Times New Roman" w:hAnsi="Times New Roman"/>
          <w:sz w:val="24"/>
          <w:szCs w:val="24"/>
        </w:rPr>
        <w:t>В соответствии с п. 7.1.2. Методических указаний затратный подход основан на определении затрат, необходимых для приобретения, воспроизводства или замещения объекта недвижимости. Для использования этого подхода необходимы актуальные и достоверные данные о соответствующих затратах.</w:t>
      </w:r>
    </w:p>
    <w:p w:rsidR="00783784" w:rsidRPr="000E26BC" w:rsidRDefault="00783784" w:rsidP="00783784">
      <w:pPr>
        <w:spacing w:after="0" w:line="240" w:lineRule="auto"/>
        <w:ind w:firstLine="720"/>
        <w:jc w:val="both"/>
        <w:rPr>
          <w:rFonts w:ascii="Times New Roman" w:hAnsi="Times New Roman"/>
          <w:sz w:val="24"/>
          <w:lang w:eastAsia="ru-RU"/>
        </w:rPr>
      </w:pPr>
      <w:r w:rsidRPr="001E5DF0">
        <w:rPr>
          <w:rFonts w:ascii="Times New Roman" w:hAnsi="Times New Roman"/>
          <w:sz w:val="24"/>
          <w:szCs w:val="24"/>
        </w:rPr>
        <w:t>Затратный подход рекомендуется применять для оценки объектов недвижимости - земельных участков, застроенных объектами капитального строительства, или объектов капитального строительства (улучшений земельного участка).</w:t>
      </w:r>
      <w:r w:rsidRPr="009E7779">
        <w:rPr>
          <w:rFonts w:ascii="Times New Roman" w:hAnsi="Times New Roman"/>
          <w:sz w:val="24"/>
          <w:lang w:eastAsia="ru-RU"/>
        </w:rPr>
        <w:t xml:space="preserve"> </w:t>
      </w:r>
      <w:r w:rsidRPr="000E26BC">
        <w:rPr>
          <w:rFonts w:ascii="Times New Roman" w:hAnsi="Times New Roman"/>
          <w:sz w:val="24"/>
          <w:lang w:eastAsia="ru-RU"/>
        </w:rPr>
        <w:t>В соответствии с пп. 8.5. Методических указаний оценка сооружений преимущественно проводится с использованием затратного подхода. Возможно использование доходного и сравнительного подходов, однако при этом следует учитывать возможное влияние на результат расчета в том числе движимого имущества, а также объектов, которые могут быть самостоятельными объектами кадастрового учета, в том числе земельных участков.</w:t>
      </w:r>
    </w:p>
    <w:p w:rsidR="00783784" w:rsidRPr="001E5DF0" w:rsidRDefault="00783784" w:rsidP="00783784">
      <w:pPr>
        <w:spacing w:after="0"/>
        <w:ind w:firstLine="709"/>
        <w:jc w:val="both"/>
        <w:rPr>
          <w:rFonts w:ascii="Times New Roman" w:hAnsi="Times New Roman"/>
          <w:sz w:val="24"/>
          <w:szCs w:val="24"/>
        </w:rPr>
      </w:pPr>
      <w:r w:rsidRPr="001E5DF0">
        <w:rPr>
          <w:rFonts w:ascii="Times New Roman" w:hAnsi="Times New Roman"/>
          <w:sz w:val="24"/>
          <w:szCs w:val="24"/>
        </w:rPr>
        <w:t>Учитывая наличие достоверной информации, позволяющей определить затраты на приобретение, воспроизводство либо замещение объекта оценки, затратный подход применялся при определении стоимости объектов оценки</w:t>
      </w:r>
      <w:r>
        <w:rPr>
          <w:rFonts w:ascii="Times New Roman" w:hAnsi="Times New Roman"/>
          <w:sz w:val="24"/>
          <w:szCs w:val="24"/>
        </w:rPr>
        <w:t xml:space="preserve"> </w:t>
      </w:r>
      <w:r w:rsidRPr="001E5DF0">
        <w:rPr>
          <w:rFonts w:ascii="Times New Roman" w:hAnsi="Times New Roman"/>
          <w:sz w:val="24"/>
          <w:szCs w:val="24"/>
        </w:rPr>
        <w:t>использовался Исполнителем для расчета кадастровой стоимости Объектов оценки</w:t>
      </w:r>
      <w:r>
        <w:rPr>
          <w:rFonts w:ascii="Times New Roman" w:hAnsi="Times New Roman"/>
          <w:sz w:val="24"/>
          <w:szCs w:val="24"/>
        </w:rPr>
        <w:t xml:space="preserve"> групп 2-10</w:t>
      </w:r>
      <w:r w:rsidRPr="001E5DF0">
        <w:rPr>
          <w:rFonts w:ascii="Times New Roman" w:hAnsi="Times New Roman"/>
          <w:sz w:val="24"/>
          <w:szCs w:val="24"/>
        </w:rPr>
        <w:t>. Описание методологии затратного подхода приведено в соответствующем разделе Отчета.</w:t>
      </w:r>
    </w:p>
    <w:p w:rsidR="00783784" w:rsidRPr="001E5DF0" w:rsidRDefault="00783784" w:rsidP="00783784">
      <w:pPr>
        <w:spacing w:after="0"/>
        <w:ind w:firstLine="709"/>
        <w:jc w:val="both"/>
        <w:rPr>
          <w:rFonts w:ascii="Times New Roman" w:hAnsi="Times New Roman"/>
          <w:sz w:val="24"/>
          <w:szCs w:val="24"/>
        </w:rPr>
      </w:pPr>
      <w:r w:rsidRPr="001E5DF0">
        <w:rPr>
          <w:rFonts w:ascii="Times New Roman" w:hAnsi="Times New Roman"/>
          <w:sz w:val="24"/>
          <w:szCs w:val="24"/>
        </w:rPr>
        <w:t>В расчет стоимости объектов недвижимости в рамках применения затратного подхода входит определение стоимости прав на земельный участок. Ввиду того, что Объектами оценки являются улучшения без учета стоимости земли (Методические указания, п. 1.14), в рамках настоящего Отчета рыночная стоимость прав на землю не определялась.</w:t>
      </w:r>
    </w:p>
    <w:p w:rsidR="00783784" w:rsidRPr="000E26BC" w:rsidRDefault="00783784" w:rsidP="00783784">
      <w:pPr>
        <w:spacing w:after="0"/>
        <w:ind w:firstLine="709"/>
        <w:jc w:val="both"/>
        <w:rPr>
          <w:rFonts w:ascii="Times New Roman" w:hAnsi="Times New Roman"/>
          <w:sz w:val="24"/>
          <w:szCs w:val="24"/>
        </w:rPr>
      </w:pPr>
      <w:r w:rsidRPr="00517CD0">
        <w:rPr>
          <w:rFonts w:ascii="Times New Roman" w:hAnsi="Times New Roman"/>
          <w:sz w:val="24"/>
          <w:szCs w:val="24"/>
        </w:rPr>
        <w:t>Доходный подход</w:t>
      </w:r>
      <w:r w:rsidRPr="000E26BC">
        <w:rPr>
          <w:rFonts w:ascii="Times New Roman" w:hAnsi="Times New Roman"/>
          <w:sz w:val="24"/>
          <w:szCs w:val="24"/>
        </w:rPr>
        <w:t xml:space="preserve"> применяется для определения стоимости объекта, способного приносить доход в будущем на протяжении определенного срока его эксплуатации. Стоимость представляет собой сумму приведенных к текущему моменту ожидаемых будущих доходов и выручки от перепродажи объекта. </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 xml:space="preserve">Подход основывается на принципе ожидания – разумный покупатель (инвестор) приобретает объект недвижимости в ожидании будущих доходов или выгод. </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 xml:space="preserve">Арендная плата учитывает реальный уровень доходов арендаторов по направлениям их функциональной деятельности. Таким образом, стоимость объекта недвижимости представляет собой дисконтированную стоимость будущих арендных платежей (потока доходов). </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lastRenderedPageBreak/>
        <w:t xml:space="preserve">Применение доходного подхода требует тщательного анализа финансового и физического состояния объекта, его окружения, экономических условий и тенденций, а также использования таких расчетных показателей как коэффициент капитализации, ставка дисконтирования и др. </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Подход с точки зрения дохода представляет собой процедуру оценки стоимости, исходя из того принципа, что стоимость недвижимости непосредственно связана с текущей стоимостью всех будущих чистых доходов, которые принесет данная недвижимость. Другими словами, инвестор приобретает приносящую доход недвижимость на сегодняшние деньги в обмен на право получать в будущем доход от ее коммерческой эксплуатации (например, от сдачи в аренду) и от последующей продажи.</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Основные виды доходов:</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 доходы от регулярной арендной платы;</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 доходы от будущей перепродажи объекта недвижимости.</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Основные этапы процедуры оценки при данном методе:</w:t>
      </w:r>
    </w:p>
    <w:p w:rsidR="00783784" w:rsidRPr="000E26BC" w:rsidRDefault="00783784" w:rsidP="00783784">
      <w:pPr>
        <w:pStyle w:val="a3"/>
        <w:numPr>
          <w:ilvl w:val="0"/>
          <w:numId w:val="2"/>
        </w:numPr>
        <w:spacing w:after="0"/>
        <w:jc w:val="both"/>
        <w:rPr>
          <w:rFonts w:ascii="Times New Roman" w:hAnsi="Times New Roman"/>
          <w:sz w:val="24"/>
          <w:szCs w:val="24"/>
        </w:rPr>
      </w:pPr>
      <w:r w:rsidRPr="000E26BC">
        <w:rPr>
          <w:rFonts w:ascii="Times New Roman" w:hAnsi="Times New Roman"/>
          <w:sz w:val="24"/>
          <w:szCs w:val="24"/>
        </w:rPr>
        <w:t>оценка потенциального валового дохода для первого года, начиная с даты оценки, на основе анализа текущих ставок и тарифов на рынке для сравнимых объектов;</w:t>
      </w:r>
    </w:p>
    <w:p w:rsidR="00783784" w:rsidRPr="000E26BC" w:rsidRDefault="00783784" w:rsidP="00783784">
      <w:pPr>
        <w:pStyle w:val="a3"/>
        <w:numPr>
          <w:ilvl w:val="0"/>
          <w:numId w:val="2"/>
        </w:numPr>
        <w:spacing w:after="0"/>
        <w:jc w:val="both"/>
        <w:rPr>
          <w:rFonts w:ascii="Times New Roman" w:hAnsi="Times New Roman"/>
          <w:sz w:val="24"/>
          <w:szCs w:val="24"/>
        </w:rPr>
      </w:pPr>
      <w:r w:rsidRPr="000E26BC">
        <w:rPr>
          <w:rFonts w:ascii="Times New Roman" w:hAnsi="Times New Roman"/>
          <w:sz w:val="24"/>
          <w:szCs w:val="24"/>
        </w:rPr>
        <w:t>оценка потерь от неполной загрузки (сдачи в аренду) и невзысканных арендных платежей на основе анализа рынка, характера его динамики применительно к оцениваемой недвижимости. Рассчитанная таким образом величина вычитается из валового дохода и определяется действительный валовый доход;</w:t>
      </w:r>
    </w:p>
    <w:p w:rsidR="00783784" w:rsidRPr="000E26BC" w:rsidRDefault="00783784" w:rsidP="00783784">
      <w:pPr>
        <w:pStyle w:val="a3"/>
        <w:numPr>
          <w:ilvl w:val="0"/>
          <w:numId w:val="2"/>
        </w:numPr>
        <w:spacing w:after="0"/>
        <w:jc w:val="both"/>
        <w:rPr>
          <w:rFonts w:ascii="Times New Roman" w:hAnsi="Times New Roman"/>
          <w:sz w:val="24"/>
          <w:szCs w:val="24"/>
        </w:rPr>
      </w:pPr>
      <w:r w:rsidRPr="000E26BC">
        <w:rPr>
          <w:rFonts w:ascii="Times New Roman" w:hAnsi="Times New Roman"/>
          <w:sz w:val="24"/>
          <w:szCs w:val="24"/>
        </w:rPr>
        <w:t>расчет издержек от эксплуатации оцениваемой недвижимости основывается на анализе фактических издержек по ее содержанию и/или типичных издержек на данном рынке. В статьи издержек включаются только отчисления, относящиеся непосредственно к эксплуатации собственности, и не включаются ипотечные платежи, проценты и амортизационные отчисления. Величина издержек вычитается из действительного валового дохода и получается величина чистого операционного дохода;</w:t>
      </w:r>
    </w:p>
    <w:p w:rsidR="00783784" w:rsidRPr="000E26BC" w:rsidRDefault="00783784" w:rsidP="00783784">
      <w:pPr>
        <w:pStyle w:val="a3"/>
        <w:numPr>
          <w:ilvl w:val="0"/>
          <w:numId w:val="2"/>
        </w:numPr>
        <w:spacing w:after="0"/>
        <w:jc w:val="both"/>
        <w:rPr>
          <w:rFonts w:ascii="Times New Roman" w:hAnsi="Times New Roman"/>
          <w:sz w:val="24"/>
          <w:szCs w:val="24"/>
        </w:rPr>
      </w:pPr>
      <w:r w:rsidRPr="000E26BC">
        <w:rPr>
          <w:rFonts w:ascii="Times New Roman" w:hAnsi="Times New Roman"/>
          <w:sz w:val="24"/>
          <w:szCs w:val="24"/>
        </w:rPr>
        <w:t xml:space="preserve">пересчет чистого операционного дохода в текущую стоимость объекта. </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Существует два метода пересчета чистого дохода в текущую стоимость: метод прямой капитализации и анализ дисконтированного денежного потока.</w:t>
      </w:r>
    </w:p>
    <w:p w:rsidR="00783784" w:rsidRPr="000E26BC"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Метод прямой капитализации наиболее применим к объектам, приносящим доход, со стабильными, предсказуемыми суммами доходов и расходов.</w:t>
      </w:r>
    </w:p>
    <w:p w:rsidR="00783784" w:rsidRDefault="00783784" w:rsidP="00783784">
      <w:pPr>
        <w:spacing w:after="0"/>
        <w:ind w:firstLine="709"/>
        <w:jc w:val="both"/>
        <w:rPr>
          <w:rFonts w:ascii="Times New Roman" w:hAnsi="Times New Roman"/>
          <w:sz w:val="24"/>
          <w:szCs w:val="24"/>
        </w:rPr>
      </w:pPr>
      <w:r w:rsidRPr="000E26BC">
        <w:rPr>
          <w:rFonts w:ascii="Times New Roman" w:hAnsi="Times New Roman"/>
          <w:sz w:val="24"/>
          <w:szCs w:val="24"/>
        </w:rPr>
        <w:t>Метод дисконтирования денежных поступлений более применим к приносящим доход объектам, имеющим нестабильные потоки доходов и расходов.</w:t>
      </w:r>
    </w:p>
    <w:p w:rsidR="00783784" w:rsidRPr="007F240B" w:rsidRDefault="00783784" w:rsidP="00783784">
      <w:pPr>
        <w:spacing w:after="0"/>
        <w:ind w:firstLine="709"/>
        <w:jc w:val="both"/>
        <w:rPr>
          <w:rFonts w:ascii="Times New Roman" w:hAnsi="Times New Roman"/>
          <w:sz w:val="24"/>
          <w:szCs w:val="24"/>
        </w:rPr>
      </w:pPr>
      <w:r w:rsidRPr="007F240B">
        <w:rPr>
          <w:rFonts w:ascii="Times New Roman" w:hAnsi="Times New Roman"/>
          <w:sz w:val="24"/>
          <w:szCs w:val="24"/>
        </w:rPr>
        <w:t xml:space="preserve">Доходный подход основан на определении ожидаемых доходов от использования объектов недвижимости. Среди Объектов оценки, зарегистрированных по виду «Здание» есть объекты, которые можно рассматривать в качестве объектов доходной недвижимости, так и не относящиеся к этому классу. К последним относятся, в частности, административные здания государственных учреждений, судов, прокуратур, отделений полиции, пожарные части и депо пожарных машин, исправительные заведения, казармы, объекты гражданской обороны, вспомогательные производственные здания и здания объектов инфраструктуры (трансформаторные подстанции, газораспределительные и газорегуляторные станции, водомерные узлы, здания очистных сооружений, здания гидросооружений, диспетчерские, аппаратные, контрольно-пропускные пункты и т.д.), объекты социальной сферы (больницы, поликлиники, дома престарелых, инвалидов, школы, дома творчества юных, музыкальные и художественные школы и т.д.), объекты культуры (театры, клубы, музеи, библиотеки и т.п.), культовые сооружения (церкви, храмы, соборы и т.п.), объекты науки (научно-исследовательские институты, лабораторные корпуса, обсерватории, гидрометеорологические станции и т.п.), элементы приусадебного благоустройства (туалеты, бани, душевые, хозяйственные постройки и т.д.). </w:t>
      </w:r>
    </w:p>
    <w:p w:rsidR="00783784" w:rsidRPr="007F240B" w:rsidRDefault="00783784" w:rsidP="00783784">
      <w:pPr>
        <w:spacing w:after="0"/>
        <w:ind w:firstLine="709"/>
        <w:jc w:val="both"/>
        <w:rPr>
          <w:rFonts w:ascii="Times New Roman" w:hAnsi="Times New Roman"/>
          <w:sz w:val="24"/>
          <w:szCs w:val="24"/>
        </w:rPr>
      </w:pPr>
      <w:r w:rsidRPr="007F240B">
        <w:rPr>
          <w:rFonts w:ascii="Times New Roman" w:hAnsi="Times New Roman"/>
          <w:sz w:val="24"/>
          <w:szCs w:val="24"/>
        </w:rPr>
        <w:t xml:space="preserve">К объектам доходной недвижимости относятся объекты торговли и общественного питания, офисные здания, объекты временного проживания, (гостиницы, апарт-отели, пансионаты, дома отдыха и т.п.), объекты для хранения автотранспорта (гаражи, паркинги), производственно-складские здания, спортивные объекты (фитнес-центры, физкультурно-оздоровительные </w:t>
      </w:r>
      <w:r w:rsidRPr="007F240B">
        <w:rPr>
          <w:rFonts w:ascii="Times New Roman" w:hAnsi="Times New Roman"/>
          <w:sz w:val="24"/>
          <w:szCs w:val="24"/>
        </w:rPr>
        <w:lastRenderedPageBreak/>
        <w:t>комплексы, бассейны, теннисные корты и др.), объекты сферы развлечений (кинотеатры, аквапарки).</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К оценке таких объектов может быть применен доходный подход. Основной критерий отнесения недвижимости к доходной — возможность сдачи ее в аренду. Арендные платежи являются типичным источником дохода, который используется при оценке недвижимости. Для оценки недвижимости можно использовать доход от бизнеса, использующего объект недвижимости: доход, генерируемый некоторым бизнесом, размещенным на объекте недвижимости, включает в себя доход, генерируемый собственно объектом недвижимости и активами, присущими бизнесу. Теория оценки не исключает возможности оценки недвижимости с точки зрения бизнеса. Однако в этом случае необходимо грамотно выделить в общем доходе от бизнеса доход, приходящийся на недвижимость, и использовать его для оценки последней.</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Доходный подход рекомендуется применять при наличии надежных данных о доходах и расходах по объектам недвижимости, об общей ставке капитализации и (или) ставке дисконтирования (п. 7.1.3 Методических указаний).</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Основой применения доходного подхода является определение чистого операционного дохода (ЧОД, NOI) от объекта недвижимости. Чистый операционный доход представляет собой разность между максимально возможным доходом от объекта (потенциальным валовым доходом – ПВД) и суммами потерь арендных платежей в результате их неполной загрузки, неуплаты части платежей арендаторами, а также расходами по эксплуатации объекта недвижимости.</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ЧОД=ПВД-Потери арендных платежей-Расходы по эксплуатации</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 xml:space="preserve">Основой расчета ПВД является размер ставок аренды помещений в оцениваемом объекте недвижимости. Последние устанавливаются на основе анализа рынка сдачи в аренду объектов, максимально сходных с оцениваемым объектом. </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Ценообразующие факторы, используемые при определении величины арендной платы, несколько различаются для объектов недвижимости различного функционального назначения, но в целом, включают в себя следующие факторы:</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местоположение объекта;</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качество (класс) объекта;</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объем входящих в состав ставки услуг;</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площадь арендуемого помещения;</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этаж расположения помещения в здании;</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доступ в здание (отдельный вход, общий или расположение на закрытой территория с проходной).</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При индивидуальной оценке объектов недвижимости с использованием доходного подхода ставка аренды для оцениваемого объекта устанавливается на основе поиска информации о ставках аренды по объектам с параметрами ценообразующих факторов, аналогичными объекту оценки. При их отличии производится корректировка ставки аренды объектов-аналогов с целью их приведения к характеристикам Объекта оценки.</w:t>
      </w:r>
    </w:p>
    <w:p w:rsidR="00783784" w:rsidRPr="007F240B" w:rsidRDefault="00783784" w:rsidP="00783784">
      <w:pPr>
        <w:autoSpaceDN/>
        <w:adjustRightInd w:val="0"/>
        <w:spacing w:after="0" w:line="245" w:lineRule="auto"/>
        <w:ind w:firstLine="709"/>
        <w:jc w:val="both"/>
        <w:rPr>
          <w:rFonts w:ascii="Times New Roman" w:hAnsi="Times New Roman"/>
          <w:sz w:val="24"/>
          <w:szCs w:val="24"/>
        </w:rPr>
      </w:pPr>
      <w:r w:rsidRPr="007F240B">
        <w:rPr>
          <w:rFonts w:ascii="Times New Roman" w:hAnsi="Times New Roman"/>
          <w:sz w:val="24"/>
          <w:szCs w:val="24"/>
        </w:rPr>
        <w:t>Следует отметить, что для Объектов оценки не всегда могут быть определены параметры объектов, влияющие на размеры доходов. Поскольку ставки аренды зависят от площади помещений, «нарезка» здания (офисного, торгового, производственно-складского) на помещения, сдаваемые в аренду, влияет на уровень доходов. При индивидуальной оценке объектов недвижимости с использованием доходного подхода это обстоятельство учитывается, т. к. используются данные о помещениях конкретного оцениваемого объекта. При кадастровой оценке имеются сведения лишь об общей площади Объектов оценки, что не позволяет адекватно оценить размер получаемых доходов. Аналогичная ситуация и с затратами по эксплуатации. Эти затраты во многом носят индивидуальный характер и зависят от проектных решений здания, соотношения общих и арендопригодных площадей, технического оснащения здания. При индивидуальной оценке принято использовать данные об эксплуатационных расходах конкретного объекта оценки. При массовой (кадастровой) оценке использование «средних» показателей приведет к получению ненадежного результата.</w:t>
      </w:r>
    </w:p>
    <w:p w:rsidR="00783784" w:rsidRDefault="00783784" w:rsidP="00783784">
      <w:pPr>
        <w:spacing w:after="0" w:line="240" w:lineRule="auto"/>
        <w:ind w:firstLine="720"/>
        <w:jc w:val="both"/>
        <w:rPr>
          <w:rFonts w:ascii="Times New Roman" w:hAnsi="Times New Roman"/>
          <w:sz w:val="24"/>
          <w:szCs w:val="24"/>
        </w:rPr>
      </w:pPr>
      <w:r w:rsidRPr="007F240B">
        <w:rPr>
          <w:rFonts w:ascii="Times New Roman" w:hAnsi="Times New Roman"/>
          <w:sz w:val="24"/>
          <w:szCs w:val="24"/>
        </w:rPr>
        <w:t>В силу изложенного Исполнитель не применял доходный подход при оценке зданий.</w:t>
      </w:r>
    </w:p>
    <w:p w:rsidR="00783784" w:rsidRPr="000E26BC" w:rsidRDefault="00783784" w:rsidP="00783784">
      <w:pPr>
        <w:spacing w:after="0" w:line="240" w:lineRule="auto"/>
        <w:ind w:firstLine="720"/>
        <w:jc w:val="both"/>
        <w:rPr>
          <w:rFonts w:ascii="Times New Roman" w:hAnsi="Times New Roman"/>
          <w:sz w:val="24"/>
          <w:lang w:eastAsia="ru-RU"/>
        </w:rPr>
      </w:pPr>
      <w:r w:rsidRPr="000E26BC">
        <w:rPr>
          <w:rFonts w:ascii="Times New Roman" w:hAnsi="Times New Roman"/>
          <w:sz w:val="24"/>
          <w:lang w:eastAsia="ru-RU"/>
        </w:rPr>
        <w:lastRenderedPageBreak/>
        <w:t>Также при выборе подходов были учтены рекомендации по применимости подходов к оценке при определении кадастровой стоимости методами массовой оценки, представленные для целей Методических указаний в Приложении 6 к Методическим указаниям.</w:t>
      </w:r>
    </w:p>
    <w:p w:rsidR="00783784" w:rsidRDefault="00783784" w:rsidP="00783784">
      <w:pPr>
        <w:spacing w:after="0" w:line="240" w:lineRule="auto"/>
        <w:ind w:firstLine="720"/>
        <w:jc w:val="both"/>
        <w:rPr>
          <w:rFonts w:ascii="Times New Roman" w:hAnsi="Times New Roman"/>
          <w:sz w:val="24"/>
          <w:lang w:eastAsia="ru-RU"/>
        </w:rPr>
      </w:pPr>
      <w:r>
        <w:rPr>
          <w:rFonts w:ascii="Times New Roman" w:hAnsi="Times New Roman"/>
          <w:sz w:val="24"/>
          <w:lang w:eastAsia="ru-RU"/>
        </w:rPr>
        <w:t>В</w:t>
      </w:r>
      <w:r w:rsidRPr="000E26BC">
        <w:rPr>
          <w:rFonts w:ascii="Times New Roman" w:hAnsi="Times New Roman"/>
          <w:sz w:val="24"/>
          <w:lang w:eastAsia="ru-RU"/>
        </w:rPr>
        <w:t xml:space="preserve"> соответствии с Методическими указаниями выбраны подходы определения кадастровой стоимости, сводные данные о которых, представлены в Таблице ниже.</w:t>
      </w:r>
    </w:p>
    <w:p w:rsidR="00783784" w:rsidRDefault="00783784" w:rsidP="00783784">
      <w:pPr>
        <w:pStyle w:val="a5"/>
        <w:spacing w:before="120" w:after="120"/>
        <w:jc w:val="right"/>
        <w:rPr>
          <w:rFonts w:ascii="Times New Roman" w:hAnsi="Times New Roman"/>
          <w:b/>
          <w:color w:val="auto"/>
          <w:sz w:val="20"/>
          <w:szCs w:val="20"/>
        </w:rPr>
      </w:pPr>
      <w:r w:rsidRPr="000E26BC">
        <w:rPr>
          <w:rFonts w:ascii="Times New Roman" w:hAnsi="Times New Roman"/>
          <w:b/>
          <w:color w:val="auto"/>
          <w:sz w:val="20"/>
          <w:szCs w:val="20"/>
        </w:rPr>
        <w:t xml:space="preserve">Таблица </w:t>
      </w:r>
      <w:r>
        <w:rPr>
          <w:rFonts w:ascii="Times New Roman" w:hAnsi="Times New Roman"/>
          <w:b/>
          <w:color w:val="auto"/>
          <w:sz w:val="20"/>
          <w:szCs w:val="20"/>
        </w:rPr>
        <w:t>33.</w:t>
      </w:r>
      <w:r w:rsidRPr="000E26BC">
        <w:rPr>
          <w:rFonts w:ascii="Times New Roman" w:hAnsi="Times New Roman"/>
          <w:b/>
          <w:color w:val="auto"/>
          <w:sz w:val="20"/>
          <w:szCs w:val="20"/>
        </w:rPr>
        <w:t xml:space="preserve"> Подходы к оценке объектов недвижимости</w:t>
      </w:r>
    </w:p>
    <w:tbl>
      <w:tblPr>
        <w:tblStyle w:val="a4"/>
        <w:tblW w:w="9918" w:type="dxa"/>
        <w:tblLayout w:type="fixed"/>
        <w:tblLook w:val="04A0" w:firstRow="1" w:lastRow="0" w:firstColumn="1" w:lastColumn="0" w:noHBand="0" w:noVBand="1"/>
      </w:tblPr>
      <w:tblGrid>
        <w:gridCol w:w="6374"/>
        <w:gridCol w:w="1276"/>
        <w:gridCol w:w="2268"/>
      </w:tblGrid>
      <w:tr w:rsidR="00783784" w:rsidTr="00F26E84">
        <w:tc>
          <w:tcPr>
            <w:tcW w:w="6374" w:type="dxa"/>
          </w:tcPr>
          <w:p w:rsidR="00783784" w:rsidRDefault="00783784" w:rsidP="00F26E84">
            <w:pPr>
              <w:jc w:val="center"/>
            </w:pPr>
            <w:r w:rsidRPr="00B0374F">
              <w:rPr>
                <w:rFonts w:ascii="Times New Roman" w:eastAsia="Times New Roman" w:hAnsi="Times New Roman"/>
                <w:b/>
                <w:bCs/>
                <w:color w:val="000000"/>
                <w:sz w:val="18"/>
                <w:szCs w:val="18"/>
                <w:lang w:eastAsia="ru-RU"/>
              </w:rPr>
              <w:t>Наименование вида использования</w:t>
            </w:r>
          </w:p>
        </w:tc>
        <w:tc>
          <w:tcPr>
            <w:tcW w:w="1276" w:type="dxa"/>
          </w:tcPr>
          <w:p w:rsidR="00783784" w:rsidRDefault="00783784" w:rsidP="00F26E84">
            <w:pPr>
              <w:jc w:val="center"/>
            </w:pPr>
            <w:r w:rsidRPr="00B0374F">
              <w:rPr>
                <w:rFonts w:ascii="Times New Roman" w:eastAsia="Times New Roman" w:hAnsi="Times New Roman"/>
                <w:b/>
                <w:bCs/>
                <w:color w:val="000000"/>
                <w:sz w:val="18"/>
                <w:szCs w:val="18"/>
                <w:lang w:eastAsia="ru-RU"/>
              </w:rPr>
              <w:t>Код подгруппы</w:t>
            </w:r>
          </w:p>
        </w:tc>
        <w:tc>
          <w:tcPr>
            <w:tcW w:w="2268" w:type="dxa"/>
          </w:tcPr>
          <w:p w:rsidR="00783784" w:rsidRDefault="00783784" w:rsidP="00F26E84">
            <w:pPr>
              <w:jc w:val="center"/>
            </w:pPr>
            <w:r w:rsidRPr="00B0374F">
              <w:rPr>
                <w:rFonts w:ascii="Times New Roman" w:eastAsia="Times New Roman" w:hAnsi="Times New Roman"/>
                <w:b/>
                <w:bCs/>
                <w:color w:val="000000"/>
                <w:sz w:val="18"/>
                <w:szCs w:val="18"/>
                <w:lang w:eastAsia="ru-RU"/>
              </w:rPr>
              <w:t>Подход к оценке</w:t>
            </w:r>
          </w:p>
        </w:tc>
      </w:tr>
      <w:tr w:rsidR="00783784" w:rsidTr="00F26E84">
        <w:tc>
          <w:tcPr>
            <w:tcW w:w="6374" w:type="dxa"/>
            <w:shd w:val="clear" w:color="auto" w:fill="D0CECE" w:themeFill="background2" w:themeFillShade="E6"/>
          </w:tcPr>
          <w:p w:rsidR="00783784" w:rsidRPr="000841DF" w:rsidRDefault="00783784" w:rsidP="00F26E84">
            <w:pPr>
              <w:rPr>
                <w:rFonts w:ascii="Times New Roman" w:eastAsia="Times New Roman" w:hAnsi="Times New Roman"/>
                <w:b/>
                <w:color w:val="000000"/>
                <w:sz w:val="18"/>
                <w:szCs w:val="18"/>
                <w:lang w:eastAsia="ru-RU"/>
              </w:rPr>
            </w:pPr>
            <w:r w:rsidRPr="000E26BC">
              <w:rPr>
                <w:rFonts w:ascii="Times New Roman" w:eastAsia="Times New Roman" w:hAnsi="Times New Roman"/>
                <w:b/>
                <w:color w:val="000000"/>
                <w:sz w:val="18"/>
                <w:szCs w:val="18"/>
                <w:lang w:eastAsia="ru-RU"/>
              </w:rPr>
              <w:t>Функциональная группа 1. «Многоквартирные дома (дома средне- и многоэтажной жилой застройки)»</w:t>
            </w:r>
          </w:p>
        </w:tc>
        <w:tc>
          <w:tcPr>
            <w:tcW w:w="1276" w:type="dxa"/>
            <w:shd w:val="clear" w:color="auto" w:fill="D0CECE" w:themeFill="background2" w:themeFillShade="E6"/>
          </w:tcPr>
          <w:p w:rsidR="00783784" w:rsidRPr="000841DF" w:rsidRDefault="00783784" w:rsidP="00F26E84">
            <w:pPr>
              <w:jc w:val="center"/>
              <w:rPr>
                <w:rFonts w:ascii="Times New Roman" w:eastAsia="Times New Roman" w:hAnsi="Times New Roman"/>
                <w:b/>
                <w:color w:val="000000"/>
                <w:sz w:val="18"/>
                <w:szCs w:val="18"/>
                <w:lang w:eastAsia="ru-RU"/>
              </w:rPr>
            </w:pPr>
            <w:r w:rsidRPr="000841DF">
              <w:rPr>
                <w:rFonts w:ascii="Times New Roman" w:eastAsia="Times New Roman" w:hAnsi="Times New Roman"/>
                <w:b/>
                <w:color w:val="000000"/>
                <w:sz w:val="18"/>
                <w:szCs w:val="18"/>
                <w:lang w:eastAsia="ru-RU"/>
              </w:rPr>
              <w:t>0100</w:t>
            </w:r>
          </w:p>
        </w:tc>
        <w:tc>
          <w:tcPr>
            <w:tcW w:w="2268" w:type="dxa"/>
            <w:shd w:val="clear" w:color="auto" w:fill="D0CECE" w:themeFill="background2" w:themeFillShade="E6"/>
          </w:tcPr>
          <w:p w:rsidR="00783784" w:rsidRPr="000841DF" w:rsidRDefault="00783784" w:rsidP="00F26E84">
            <w:pPr>
              <w:jc w:val="center"/>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Объекты отсутствуют</w:t>
            </w:r>
          </w:p>
        </w:tc>
      </w:tr>
      <w:tr w:rsidR="00783784" w:rsidTr="00F26E84">
        <w:tc>
          <w:tcPr>
            <w:tcW w:w="6374" w:type="dxa"/>
            <w:shd w:val="clear" w:color="auto" w:fill="D0CECE" w:themeFill="background2" w:themeFillShade="E6"/>
            <w:vAlign w:val="center"/>
          </w:tcPr>
          <w:p w:rsidR="00783784" w:rsidRDefault="00783784" w:rsidP="00F26E84">
            <w:r w:rsidRPr="000E26BC">
              <w:rPr>
                <w:rFonts w:ascii="Times New Roman" w:eastAsia="Times New Roman" w:hAnsi="Times New Roman"/>
                <w:b/>
                <w:color w:val="000000"/>
                <w:sz w:val="18"/>
                <w:szCs w:val="18"/>
                <w:lang w:eastAsia="ru-RU"/>
              </w:rPr>
              <w:t>Функциональная группа 2. Дома малоэтажной жилой застройки, в том числе индивидуальной жилой застройки - индивидуальные, малоэтажные блокированные (таунхаусы</w:t>
            </w:r>
            <w:r>
              <w:rPr>
                <w:rFonts w:ascii="Times New Roman" w:eastAsia="Times New Roman" w:hAnsi="Times New Roman"/>
                <w:b/>
                <w:color w:val="000000"/>
                <w:sz w:val="18"/>
                <w:szCs w:val="18"/>
                <w:lang w:eastAsia="ru-RU"/>
              </w:rPr>
              <w:t>)</w:t>
            </w:r>
          </w:p>
        </w:tc>
        <w:tc>
          <w:tcPr>
            <w:tcW w:w="1276" w:type="dxa"/>
            <w:shd w:val="clear" w:color="auto" w:fill="D0CECE" w:themeFill="background2" w:themeFillShade="E6"/>
            <w:vAlign w:val="center"/>
          </w:tcPr>
          <w:p w:rsidR="00783784" w:rsidRDefault="00783784" w:rsidP="00F26E84">
            <w:pPr>
              <w:jc w:val="center"/>
            </w:pPr>
            <w:r w:rsidRPr="000E26BC">
              <w:rPr>
                <w:rFonts w:ascii="Times New Roman" w:hAnsi="Times New Roman"/>
                <w:b/>
                <w:sz w:val="18"/>
                <w:szCs w:val="18"/>
              </w:rPr>
              <w:t>0200</w:t>
            </w:r>
          </w:p>
        </w:tc>
        <w:tc>
          <w:tcPr>
            <w:tcW w:w="2268" w:type="dxa"/>
            <w:shd w:val="clear" w:color="auto" w:fill="D0CECE" w:themeFill="background2" w:themeFillShade="E6"/>
            <w:vAlign w:val="center"/>
          </w:tcPr>
          <w:p w:rsidR="00783784" w:rsidRDefault="00783784" w:rsidP="00F26E84">
            <w:pPr>
              <w:jc w:val="center"/>
            </w:pP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Дома жилые блокированной застройки (таунхаусы)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0201</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Дома индивидуальные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0202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Дома индивидуальные с бытовыми пристройками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0203</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Коттеджи (дома индивидуальные повышенной комфортности с применением качественных материалов, большой площади, наличием систем (как локальных, так и централизованных) инженерного обеспечения, расположенные в однородной среде, в престижных местах)</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0204</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Pr>
                <w:rFonts w:ascii="Times New Roman" w:hAnsi="Times New Roman"/>
                <w:sz w:val="18"/>
                <w:szCs w:val="18"/>
              </w:rPr>
              <w:t>Садовые дома</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0206</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Туалеты, летние душевые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0207</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D0CECE" w:themeFill="background2" w:themeFillShade="E6"/>
            <w:vAlign w:val="center"/>
          </w:tcPr>
          <w:p w:rsidR="00783784" w:rsidRDefault="00783784" w:rsidP="00F26E84">
            <w:r w:rsidRPr="000E26BC">
              <w:rPr>
                <w:rFonts w:ascii="Times New Roman" w:eastAsia="Times New Roman" w:hAnsi="Times New Roman"/>
                <w:b/>
                <w:color w:val="000000"/>
                <w:sz w:val="18"/>
                <w:szCs w:val="18"/>
                <w:lang w:eastAsia="ru-RU"/>
              </w:rPr>
              <w:t>Функциональная группа 3 «Объекты, предназначенные для хранения транспорта»</w:t>
            </w:r>
          </w:p>
        </w:tc>
        <w:tc>
          <w:tcPr>
            <w:tcW w:w="1276" w:type="dxa"/>
            <w:shd w:val="clear" w:color="auto" w:fill="D0CECE" w:themeFill="background2" w:themeFillShade="E6"/>
            <w:vAlign w:val="center"/>
          </w:tcPr>
          <w:p w:rsidR="00783784" w:rsidRDefault="00783784" w:rsidP="00F26E84">
            <w:pPr>
              <w:jc w:val="center"/>
            </w:pPr>
            <w:r w:rsidRPr="000E26BC">
              <w:rPr>
                <w:rFonts w:ascii="Times New Roman" w:hAnsi="Times New Roman"/>
                <w:b/>
                <w:sz w:val="18"/>
                <w:szCs w:val="18"/>
              </w:rPr>
              <w:t>0300</w:t>
            </w:r>
          </w:p>
        </w:tc>
        <w:tc>
          <w:tcPr>
            <w:tcW w:w="2268" w:type="dxa"/>
            <w:shd w:val="clear" w:color="auto" w:fill="D0CECE" w:themeFill="background2" w:themeFillShade="E6"/>
            <w:vAlign w:val="center"/>
          </w:tcPr>
          <w:p w:rsidR="00783784" w:rsidRDefault="00783784" w:rsidP="00F26E84">
            <w:pPr>
              <w:jc w:val="center"/>
            </w:pP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Открытые автостоянки автомобилей (покрытые площадки и проезды)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0301</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Гаражи индивидуальные отдельностоящие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0302</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Гаражные кооперативы (сблокированные индивидуальные гаражи)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0303</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Паркинги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0304</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Гаражи производственные, ведомственные для легковых автомобилей</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0305</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Гаражи производственные, ведомственные для грузовых автомобилей и автобусов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0306</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Гаражи производственные, ведомственные для спецтехники, включая гаражи, депо пожарных машин</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0307</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Открытые стоянки водного транспорта</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0308</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Гаражи индивидуальные водного транспорта (эллинги)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0309</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Гаражи производственные, ведомственные водного транспорта (эллинги)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0310</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Открытые стоянки воздушного транспорта</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0311</w:t>
            </w:r>
          </w:p>
        </w:tc>
        <w:tc>
          <w:tcPr>
            <w:tcW w:w="2268" w:type="dxa"/>
            <w:shd w:val="clear" w:color="auto" w:fill="auto"/>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D0CECE" w:themeFill="background2" w:themeFillShade="E6"/>
            <w:vAlign w:val="center"/>
          </w:tcPr>
          <w:p w:rsidR="00783784" w:rsidRDefault="00783784" w:rsidP="00F26E84">
            <w:r w:rsidRPr="000E26BC">
              <w:rPr>
                <w:rFonts w:ascii="Times New Roman" w:eastAsia="Times New Roman" w:hAnsi="Times New Roman"/>
                <w:b/>
                <w:color w:val="000000"/>
                <w:sz w:val="18"/>
                <w:szCs w:val="18"/>
                <w:lang w:eastAsia="ru-RU"/>
              </w:rPr>
              <w:t>Функциональная группа 4 «</w:t>
            </w:r>
            <w:r w:rsidRPr="000E26BC">
              <w:rPr>
                <w:rFonts w:ascii="Times New Roman" w:hAnsi="Times New Roman"/>
                <w:b/>
                <w:sz w:val="18"/>
                <w:szCs w:val="18"/>
              </w:rPr>
              <w:t>Объекты коммерческого назначения, предназначенные для оказания услуг населению, включая многофункционального назначения</w:t>
            </w:r>
            <w:r w:rsidRPr="000E26BC">
              <w:rPr>
                <w:rFonts w:ascii="Times New Roman" w:eastAsia="Times New Roman" w:hAnsi="Times New Roman"/>
                <w:b/>
                <w:color w:val="000000"/>
                <w:sz w:val="18"/>
                <w:szCs w:val="18"/>
                <w:lang w:eastAsia="ru-RU"/>
              </w:rPr>
              <w:t>»</w:t>
            </w:r>
          </w:p>
        </w:tc>
        <w:tc>
          <w:tcPr>
            <w:tcW w:w="1276" w:type="dxa"/>
            <w:shd w:val="clear" w:color="auto" w:fill="D0CECE" w:themeFill="background2" w:themeFillShade="E6"/>
            <w:vAlign w:val="center"/>
          </w:tcPr>
          <w:p w:rsidR="00783784" w:rsidRDefault="00783784" w:rsidP="00F26E84">
            <w:pPr>
              <w:jc w:val="center"/>
            </w:pPr>
            <w:r w:rsidRPr="000E26BC">
              <w:rPr>
                <w:rFonts w:ascii="Times New Roman" w:hAnsi="Times New Roman"/>
                <w:b/>
                <w:sz w:val="18"/>
                <w:szCs w:val="18"/>
              </w:rPr>
              <w:t>0400</w:t>
            </w:r>
          </w:p>
        </w:tc>
        <w:tc>
          <w:tcPr>
            <w:tcW w:w="2268" w:type="dxa"/>
            <w:shd w:val="clear" w:color="auto" w:fill="D0CECE" w:themeFill="background2" w:themeFillShade="E6"/>
            <w:vAlign w:val="center"/>
          </w:tcPr>
          <w:p w:rsidR="00783784" w:rsidRDefault="00783784" w:rsidP="00F26E84">
            <w:pPr>
              <w:jc w:val="center"/>
            </w:pP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Магазины до 250 кв. м, за исключением киосков, павильонов, ларьков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0401</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Магазины 250 и более кв. м</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0402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Прочие многофункциональные торгово-сервисные комплексы, торгово-административные объекты, торгово-развлекательные объекты, за исключением отдельно стоящих зданий концертных залов, спортивно-концертных комплексов, кинотеатров, комплексов аттракционов, торгово-складские объекты, торговые базы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0403</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Рынки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0404</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Торговые киоски, павильоны, ларьки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0405</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Автозаправочные станции (АЗС), газонаполнительные станции, автогазозаправочные станции (АГЗС)</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0406</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Автомойки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0407</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Автосалоны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0408</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Рестораны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0409</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Кафе 750 кв. м (75 человек) и более, производственные столовые, столовые, кухни, кухни - столовые 750 кв. м (75 человек) и более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0410</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Кафе до 750 кв. м (75 человек), кафетерии, столовые, кухни, кухни-столовые до 750 кв. м (75 человек)</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0411</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Летние кафе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0412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Ломбарды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0413</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D0CECE" w:themeFill="background2" w:themeFillShade="E6"/>
            <w:vAlign w:val="center"/>
          </w:tcPr>
          <w:p w:rsidR="00783784" w:rsidRDefault="00783784" w:rsidP="00F26E84">
            <w:r w:rsidRPr="000E26BC">
              <w:rPr>
                <w:rFonts w:ascii="Times New Roman" w:eastAsia="Times New Roman" w:hAnsi="Times New Roman"/>
                <w:b/>
                <w:color w:val="000000"/>
                <w:sz w:val="18"/>
                <w:szCs w:val="18"/>
                <w:lang w:eastAsia="ru-RU"/>
              </w:rPr>
              <w:t>Функциональная группа 5 «</w:t>
            </w:r>
            <w:r w:rsidRPr="000E26BC">
              <w:rPr>
                <w:rFonts w:ascii="Times New Roman" w:hAnsi="Times New Roman"/>
                <w:b/>
                <w:sz w:val="18"/>
                <w:szCs w:val="18"/>
              </w:rPr>
              <w:t>Объекты коммерческого назначения, предназначенные для оказания услуг населению, включая многофункционального назначения</w:t>
            </w:r>
            <w:r w:rsidRPr="000E26BC">
              <w:rPr>
                <w:rFonts w:ascii="Times New Roman" w:eastAsia="Times New Roman" w:hAnsi="Times New Roman"/>
                <w:b/>
                <w:color w:val="000000"/>
                <w:sz w:val="18"/>
                <w:szCs w:val="18"/>
                <w:lang w:eastAsia="ru-RU"/>
              </w:rPr>
              <w:t>»</w:t>
            </w:r>
          </w:p>
        </w:tc>
        <w:tc>
          <w:tcPr>
            <w:tcW w:w="1276" w:type="dxa"/>
            <w:shd w:val="clear" w:color="auto" w:fill="D0CECE" w:themeFill="background2" w:themeFillShade="E6"/>
            <w:vAlign w:val="center"/>
          </w:tcPr>
          <w:p w:rsidR="00783784" w:rsidRDefault="00783784" w:rsidP="00F26E84">
            <w:pPr>
              <w:jc w:val="center"/>
            </w:pPr>
            <w:r w:rsidRPr="000E26BC">
              <w:rPr>
                <w:rFonts w:ascii="Times New Roman" w:hAnsi="Times New Roman"/>
                <w:b/>
                <w:sz w:val="18"/>
                <w:szCs w:val="18"/>
              </w:rPr>
              <w:t>0500</w:t>
            </w:r>
          </w:p>
        </w:tc>
        <w:tc>
          <w:tcPr>
            <w:tcW w:w="2268" w:type="dxa"/>
            <w:shd w:val="clear" w:color="auto" w:fill="D0CECE" w:themeFill="background2" w:themeFillShade="E6"/>
            <w:vAlign w:val="center"/>
          </w:tcPr>
          <w:p w:rsidR="00783784" w:rsidRDefault="00783784" w:rsidP="00F26E84">
            <w:pPr>
              <w:jc w:val="center"/>
            </w:pP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Гостиницы: класс 2* и ниже, ведомственные гостиницы, хостелы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0501</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Гостиницы: класс 3*</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0502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lastRenderedPageBreak/>
              <w:t>Гостиницы: класс 4* и выше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0503</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Апарт-отели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0504</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Гостиницы; объекты коттеджного типа</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0505</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Мотели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0506</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Общежития</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0507</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Пансионаты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0508</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Базы отдыха</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0509</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Пионерские лагеря</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0510</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Санатории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0511</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Здания барачного типа, летние домики пансионатов и санаториев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0512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Главные корпуса пансионатов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0513</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Спальные корпуса пансионатов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0514</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Главные корпуса санаториев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0515</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Спальные корпуса санаториев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0516</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Кемпинги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0517</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D0CECE" w:themeFill="background2" w:themeFillShade="E6"/>
            <w:vAlign w:val="center"/>
          </w:tcPr>
          <w:p w:rsidR="00783784" w:rsidRDefault="00783784" w:rsidP="00F26E84">
            <w:r w:rsidRPr="000E26BC">
              <w:rPr>
                <w:rFonts w:ascii="Times New Roman" w:eastAsia="Times New Roman" w:hAnsi="Times New Roman"/>
                <w:b/>
                <w:color w:val="000000"/>
                <w:sz w:val="18"/>
                <w:szCs w:val="18"/>
                <w:lang w:eastAsia="ru-RU"/>
              </w:rPr>
              <w:t>Функциональная группа 6 «</w:t>
            </w:r>
            <w:r w:rsidRPr="000E26BC">
              <w:rPr>
                <w:rFonts w:ascii="Times New Roman" w:hAnsi="Times New Roman"/>
                <w:b/>
                <w:sz w:val="18"/>
                <w:szCs w:val="18"/>
              </w:rPr>
              <w:t>Административные и бытовые объекты»</w:t>
            </w:r>
          </w:p>
        </w:tc>
        <w:tc>
          <w:tcPr>
            <w:tcW w:w="1276" w:type="dxa"/>
            <w:shd w:val="clear" w:color="auto" w:fill="D0CECE" w:themeFill="background2" w:themeFillShade="E6"/>
            <w:vAlign w:val="center"/>
          </w:tcPr>
          <w:p w:rsidR="00783784" w:rsidRDefault="00783784" w:rsidP="00F26E84">
            <w:pPr>
              <w:jc w:val="center"/>
            </w:pPr>
            <w:r w:rsidRPr="000E26BC">
              <w:rPr>
                <w:rFonts w:ascii="Times New Roman" w:hAnsi="Times New Roman"/>
                <w:b/>
                <w:sz w:val="18"/>
                <w:szCs w:val="18"/>
              </w:rPr>
              <w:t>0600</w:t>
            </w:r>
          </w:p>
        </w:tc>
        <w:tc>
          <w:tcPr>
            <w:tcW w:w="2268" w:type="dxa"/>
            <w:shd w:val="clear" w:color="auto" w:fill="D0CECE" w:themeFill="background2" w:themeFillShade="E6"/>
            <w:vAlign w:val="center"/>
          </w:tcPr>
          <w:p w:rsidR="00783784" w:rsidRDefault="00783784" w:rsidP="00F26E84">
            <w:pPr>
              <w:jc w:val="center"/>
            </w:pPr>
          </w:p>
        </w:tc>
      </w:tr>
      <w:tr w:rsidR="00783784" w:rsidTr="00F26E84">
        <w:tc>
          <w:tcPr>
            <w:tcW w:w="6374" w:type="dxa"/>
            <w:shd w:val="clear" w:color="000000" w:fill="FFFFFF"/>
            <w:vAlign w:val="center"/>
          </w:tcPr>
          <w:p w:rsidR="00783784" w:rsidRDefault="00783784" w:rsidP="00F26E84">
            <w:r w:rsidRPr="000E26BC">
              <w:rPr>
                <w:rFonts w:ascii="Times New Roman" w:hAnsi="Times New Roman"/>
                <w:sz w:val="18"/>
                <w:szCs w:val="18"/>
              </w:rPr>
              <w:t>Банки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0601</w:t>
            </w:r>
          </w:p>
        </w:tc>
        <w:tc>
          <w:tcPr>
            <w:tcW w:w="2268" w:type="dxa"/>
            <w:shd w:val="clear" w:color="000000" w:fill="FFFFFF"/>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FFFFFF"/>
            <w:vAlign w:val="center"/>
          </w:tcPr>
          <w:p w:rsidR="00783784" w:rsidRDefault="00783784" w:rsidP="00F26E84">
            <w:r w:rsidRPr="000E26BC">
              <w:rPr>
                <w:rFonts w:ascii="Times New Roman" w:hAnsi="Times New Roman"/>
                <w:sz w:val="18"/>
                <w:szCs w:val="18"/>
              </w:rPr>
              <w:t>Бизнес-центры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0602</w:t>
            </w:r>
          </w:p>
        </w:tc>
        <w:tc>
          <w:tcPr>
            <w:tcW w:w="2268" w:type="dxa"/>
            <w:shd w:val="clear" w:color="000000" w:fill="FFFFFF"/>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FFFFFF"/>
            <w:vAlign w:val="center"/>
          </w:tcPr>
          <w:p w:rsidR="00783784" w:rsidRDefault="00783784" w:rsidP="00F26E84">
            <w:r w:rsidRPr="000E26BC">
              <w:rPr>
                <w:rFonts w:ascii="Times New Roman" w:hAnsi="Times New Roman"/>
                <w:sz w:val="18"/>
                <w:szCs w:val="18"/>
              </w:rPr>
              <w:t>Бытовые, административно-бытовые здания</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0603</w:t>
            </w:r>
          </w:p>
        </w:tc>
        <w:tc>
          <w:tcPr>
            <w:tcW w:w="2268" w:type="dxa"/>
            <w:shd w:val="clear" w:color="000000" w:fill="FFFFFF"/>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FFFFFF"/>
            <w:vAlign w:val="center"/>
          </w:tcPr>
          <w:p w:rsidR="00783784" w:rsidRDefault="00783784" w:rsidP="00F26E84">
            <w:r w:rsidRPr="000E26BC">
              <w:rPr>
                <w:rFonts w:ascii="Times New Roman" w:hAnsi="Times New Roman"/>
                <w:sz w:val="18"/>
                <w:szCs w:val="18"/>
              </w:rPr>
              <w:t>Административные корпуса заводов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0604</w:t>
            </w:r>
          </w:p>
        </w:tc>
        <w:tc>
          <w:tcPr>
            <w:tcW w:w="2268" w:type="dxa"/>
            <w:shd w:val="clear" w:color="000000" w:fill="FFFFFF"/>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FFFFFF"/>
            <w:vAlign w:val="center"/>
          </w:tcPr>
          <w:p w:rsidR="00783784" w:rsidRDefault="00783784" w:rsidP="00F26E84">
            <w:r w:rsidRPr="000E26BC">
              <w:rPr>
                <w:rFonts w:ascii="Times New Roman" w:hAnsi="Times New Roman"/>
                <w:sz w:val="18"/>
                <w:szCs w:val="18"/>
              </w:rPr>
              <w:t>Лабораторные корпуса</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0605</w:t>
            </w:r>
          </w:p>
        </w:tc>
        <w:tc>
          <w:tcPr>
            <w:tcW w:w="2268" w:type="dxa"/>
            <w:shd w:val="clear" w:color="000000" w:fill="FFFFFF"/>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FFFFFF"/>
            <w:vAlign w:val="center"/>
          </w:tcPr>
          <w:p w:rsidR="00783784" w:rsidRDefault="00783784" w:rsidP="00F26E84">
            <w:r w:rsidRPr="000E26BC">
              <w:rPr>
                <w:rFonts w:ascii="Times New Roman" w:hAnsi="Times New Roman"/>
                <w:sz w:val="18"/>
                <w:szCs w:val="18"/>
              </w:rPr>
              <w:t>Отделения полиции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0606</w:t>
            </w:r>
          </w:p>
        </w:tc>
        <w:tc>
          <w:tcPr>
            <w:tcW w:w="2268" w:type="dxa"/>
            <w:shd w:val="clear" w:color="000000" w:fill="FFFFFF"/>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FFFFFF"/>
            <w:vAlign w:val="center"/>
          </w:tcPr>
          <w:p w:rsidR="00783784" w:rsidRDefault="00783784" w:rsidP="00F26E84">
            <w:r w:rsidRPr="000E26BC">
              <w:rPr>
                <w:rFonts w:ascii="Times New Roman" w:hAnsi="Times New Roman"/>
                <w:sz w:val="18"/>
                <w:szCs w:val="18"/>
              </w:rPr>
              <w:t>Контрольно-пропускные пункты, проходные 100 кв. м и более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0607</w:t>
            </w:r>
          </w:p>
        </w:tc>
        <w:tc>
          <w:tcPr>
            <w:tcW w:w="2268" w:type="dxa"/>
            <w:shd w:val="clear" w:color="000000" w:fill="FFFFFF"/>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FFFFFF"/>
            <w:vAlign w:val="center"/>
          </w:tcPr>
          <w:p w:rsidR="00783784" w:rsidRDefault="00783784" w:rsidP="00F26E84">
            <w:r w:rsidRPr="000E26BC">
              <w:rPr>
                <w:rFonts w:ascii="Times New Roman" w:hAnsi="Times New Roman"/>
                <w:sz w:val="18"/>
                <w:szCs w:val="18"/>
              </w:rPr>
              <w:t>Отделения связи, почта</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0608</w:t>
            </w:r>
          </w:p>
        </w:tc>
        <w:tc>
          <w:tcPr>
            <w:tcW w:w="2268" w:type="dxa"/>
            <w:shd w:val="clear" w:color="000000" w:fill="FFFFFF"/>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FFFFFF"/>
            <w:vAlign w:val="center"/>
          </w:tcPr>
          <w:p w:rsidR="00783784" w:rsidRDefault="00783784" w:rsidP="00F26E84">
            <w:r>
              <w:rPr>
                <w:rFonts w:ascii="Times New Roman" w:hAnsi="Times New Roman"/>
                <w:sz w:val="18"/>
                <w:szCs w:val="18"/>
              </w:rPr>
              <w:t>Таможни</w:t>
            </w:r>
          </w:p>
        </w:tc>
        <w:tc>
          <w:tcPr>
            <w:tcW w:w="1276" w:type="dxa"/>
            <w:shd w:val="clear" w:color="auto" w:fill="auto"/>
            <w:vAlign w:val="center"/>
          </w:tcPr>
          <w:p w:rsidR="00783784" w:rsidRDefault="00783784" w:rsidP="00F26E84">
            <w:pPr>
              <w:jc w:val="center"/>
            </w:pPr>
            <w:r>
              <w:rPr>
                <w:rFonts w:ascii="Times New Roman" w:hAnsi="Times New Roman"/>
                <w:sz w:val="18"/>
                <w:szCs w:val="18"/>
              </w:rPr>
              <w:t>0609</w:t>
            </w:r>
          </w:p>
        </w:tc>
        <w:tc>
          <w:tcPr>
            <w:tcW w:w="2268" w:type="dxa"/>
            <w:shd w:val="clear" w:color="000000" w:fill="FFFFFF"/>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BFBFBF"/>
            <w:vAlign w:val="center"/>
          </w:tcPr>
          <w:p w:rsidR="00783784" w:rsidRDefault="00783784" w:rsidP="00F26E84">
            <w:r w:rsidRPr="000E26BC">
              <w:rPr>
                <w:rFonts w:ascii="Times New Roman" w:eastAsia="Times New Roman" w:hAnsi="Times New Roman"/>
                <w:b/>
                <w:color w:val="000000"/>
                <w:sz w:val="18"/>
                <w:szCs w:val="18"/>
                <w:lang w:eastAsia="ru-RU"/>
              </w:rPr>
              <w:t>Функциональная группа 7 «</w:t>
            </w:r>
            <w:r w:rsidRPr="000E26BC">
              <w:rPr>
                <w:rFonts w:ascii="Times New Roman" w:hAnsi="Times New Roman"/>
                <w:b/>
                <w:sz w:val="18"/>
                <w:szCs w:val="18"/>
              </w:rPr>
              <w:t>Объекты производственного назначения, за исключением передаточных устройств и сооружений»</w:t>
            </w:r>
          </w:p>
        </w:tc>
        <w:tc>
          <w:tcPr>
            <w:tcW w:w="1276" w:type="dxa"/>
            <w:shd w:val="clear" w:color="000000" w:fill="BFBFBF"/>
            <w:vAlign w:val="center"/>
          </w:tcPr>
          <w:p w:rsidR="00783784" w:rsidRDefault="00783784" w:rsidP="00F26E84">
            <w:pPr>
              <w:jc w:val="center"/>
            </w:pPr>
            <w:r w:rsidRPr="000E26BC">
              <w:rPr>
                <w:rFonts w:ascii="Times New Roman" w:hAnsi="Times New Roman"/>
                <w:b/>
                <w:sz w:val="18"/>
                <w:szCs w:val="18"/>
              </w:rPr>
              <w:t>0700</w:t>
            </w:r>
          </w:p>
        </w:tc>
        <w:tc>
          <w:tcPr>
            <w:tcW w:w="2268" w:type="dxa"/>
            <w:shd w:val="clear" w:color="000000" w:fill="BFBFBF"/>
            <w:vAlign w:val="center"/>
          </w:tcPr>
          <w:p w:rsidR="00783784" w:rsidRDefault="00783784" w:rsidP="00F26E84">
            <w:pPr>
              <w:jc w:val="center"/>
            </w:pP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Производственные, производственно-складские и административно-производственные здания площадью до 100 кв. м</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0701</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Диспетчерские, аппаратные (кроме диспетчерских на транспорте)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0702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Контрольно-пропускные пункты, проходные менее 100 кв. м</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0703</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Производственные, производственно-складские и производственно-административные здания площадью 100 и более кв. м</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0704</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Объекты сельскохозяйственного производства. Животноводческие комплексы, птичники, тепличные и оранжерейные хозяйства</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0705</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Трансформаторные подстанции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0706</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Электроподстанции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0707</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Энергоблоки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0708</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Центральная тепловая станция (ЦТП), теплоэлектроцентраль (ТЭЦ)</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0709</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Котельные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0710</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Здания тепловых пунктов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0711</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Сушилки, мельницы, вспомогательные объекты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Станции газораспределительные и газорегуляторные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0713</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Пункты газораспределительные и газорегуляторные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0714</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Насосные станции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0715</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Водопроводные станции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0716</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Водозаборные узлы и сооружения</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0717</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Водомерные узлы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0718</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Павильоны над скважинами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0719</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Вентиляционные киоски, вентиляционные камеры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0720</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Автоматические телефонные станции (АТС)</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0721</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Мастерские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Складские здания, кроме ангаров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0723</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Здания очистных сооружений</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0724</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Весовые автомобильные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0725</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Весовые железнодорожные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0726</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Здания ангарного типа</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0727</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Холодильники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0728</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Здания гидросооружений</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0729</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Станции технического обслуживания автомобилей (СТО), автосервисы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0730</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Ангары для самолетов, вертолетов и других летательных аппаратов</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0731</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Депо железнодорожные, локомотивные, метрополитена, электродепо, трамвайные, троллейбусные</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0732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000000" w:fill="BFBFBF"/>
            <w:vAlign w:val="center"/>
          </w:tcPr>
          <w:p w:rsidR="00783784" w:rsidRDefault="00783784" w:rsidP="00F26E84">
            <w:r w:rsidRPr="000E26BC">
              <w:rPr>
                <w:rFonts w:ascii="Times New Roman" w:eastAsia="Times New Roman" w:hAnsi="Times New Roman"/>
                <w:b/>
                <w:color w:val="000000"/>
                <w:sz w:val="18"/>
                <w:szCs w:val="18"/>
                <w:lang w:eastAsia="ru-RU"/>
              </w:rPr>
              <w:t>Функциональная группа 8 «Учебные, спортивные объекты, объекты культуры и искусства, культовые объекты, музеи, лечебно-оздоровительные и общественного назначения объекты»</w:t>
            </w:r>
          </w:p>
        </w:tc>
        <w:tc>
          <w:tcPr>
            <w:tcW w:w="1276" w:type="dxa"/>
            <w:shd w:val="clear" w:color="000000" w:fill="BFBFBF"/>
            <w:vAlign w:val="center"/>
          </w:tcPr>
          <w:p w:rsidR="00783784" w:rsidRDefault="00783784" w:rsidP="00F26E84">
            <w:pPr>
              <w:jc w:val="center"/>
            </w:pPr>
            <w:r w:rsidRPr="000E26BC">
              <w:rPr>
                <w:rFonts w:ascii="Times New Roman" w:hAnsi="Times New Roman"/>
                <w:b/>
                <w:sz w:val="18"/>
                <w:szCs w:val="18"/>
              </w:rPr>
              <w:t>0800</w:t>
            </w:r>
          </w:p>
        </w:tc>
        <w:tc>
          <w:tcPr>
            <w:tcW w:w="2268" w:type="dxa"/>
            <w:shd w:val="clear" w:color="000000" w:fill="AEAAAA"/>
            <w:vAlign w:val="center"/>
          </w:tcPr>
          <w:p w:rsidR="00783784" w:rsidRDefault="00783784" w:rsidP="00F26E84">
            <w:pPr>
              <w:jc w:val="center"/>
            </w:pP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lastRenderedPageBreak/>
              <w:t>Ветеринарные объекты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0801</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Питомники, гостиницы для животных</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0802</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Зоопарк (вольеры, строения для содержания животных)</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0803</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Музеи</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0804</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Default="00783784" w:rsidP="00F26E84">
            <w:r w:rsidRPr="000E26BC">
              <w:rPr>
                <w:rFonts w:ascii="Times New Roman" w:hAnsi="Times New Roman"/>
                <w:sz w:val="18"/>
                <w:szCs w:val="18"/>
              </w:rPr>
              <w:t>Памятники архитектурные, монументы</w:t>
            </w:r>
          </w:p>
        </w:tc>
        <w:tc>
          <w:tcPr>
            <w:tcW w:w="1276" w:type="dxa"/>
            <w:shd w:val="clear" w:color="auto" w:fill="auto"/>
            <w:vAlign w:val="center"/>
          </w:tcPr>
          <w:p w:rsidR="00783784" w:rsidRDefault="00783784" w:rsidP="00F26E84">
            <w:pPr>
              <w:jc w:val="center"/>
            </w:pPr>
            <w:r w:rsidRPr="000E26BC">
              <w:rPr>
                <w:rFonts w:ascii="Times New Roman" w:hAnsi="Times New Roman"/>
                <w:sz w:val="18"/>
                <w:szCs w:val="18"/>
              </w:rPr>
              <w:t>0805</w:t>
            </w:r>
          </w:p>
        </w:tc>
        <w:tc>
          <w:tcPr>
            <w:tcW w:w="2268" w:type="dxa"/>
            <w:shd w:val="clear" w:color="auto" w:fill="auto"/>
            <w:vAlign w:val="center"/>
          </w:tcPr>
          <w:p w:rsidR="00783784" w:rsidRDefault="00783784" w:rsidP="00F26E84">
            <w:pPr>
              <w:jc w:val="cente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Спортивные комплексы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0806</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Спортивные залы и корпуса, спортивные клубы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0807</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Стадионы, трибуны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0808</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Теннисные корты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0809</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Тиры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0810</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Фитнес-центры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0811</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Крытые катки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0812</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Бассейны для плавания</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0813</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Яхт-клубы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0814</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Архивы, книгохранилища и фондохранилища, библиотеки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0815</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Костелы, лавры, мечети, молебные дома, монастыри, синагоги, соборы, храмы, церкви, часовни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0816</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Оранжереи (не относящиеся к сельскохозяйственному производству)</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0817</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Кинотеатры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0818</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Киностудии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0819</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Выставочные залы, дворцы культуры, дома культуры, консерватории, концертные залы, культурно-досуговые центры, мюзик-холлы, планетарии, театры, художественные галереи, цирки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0820</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Детские сады, ясли, ясли-сады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0821</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Гимназии, дома и дворцы пионеров, дома юного творчества, изостудии, клубы, лицеи, музыкальные школы, церковные школы, школы, спальные корпуса школ-интернатов</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0822</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Колледжи, училища профессионально-технические и ремесленные, техникумы, училища</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0823</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Академии, институты образовательные, подготовительные отделения высших учебных заведений, университеты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0824</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Больницы, поликлиники, станции медицинской скорой помощи, фельдшерские медицинские пункты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0825</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Крематории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0826</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Комплексы аттракционов отдельно стоящие</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0827</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Аквапарки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0828</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Объекты бытового обслуживания населения, ателье, парикмахерские, прачечные, пункты проката, молочные кухни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0829</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Бани общественные от 150 кв. м, до 1000 кв. м (до 100 чел.), душевые и раздевалки, банные комплексы 1000 кв. м (на 100 чел.) и более</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0830</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Туалеты общественные</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0831</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Морги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0832</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Интернаты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0833</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Изоляторы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0834</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Исправительные заведения</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0835</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Казармы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0836</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Государственные научные центры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0837</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Проектные институты, конструкторские бюро</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0838</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Научно-исследовательские институты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0839</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Обсерватории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0840</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Административные здания государственных учреждений управления, включая здания администраций, министерств, судов, прокуратуры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0841</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Дома престарелых</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0842</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Дома инвалидов</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0843</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Автовокзалы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0844</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Аэропорты (аэровокзалы), аэродромы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0845</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Порты (вокзалы)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0846</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Вокзалы железнодорожные</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0847</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Станции железнодорожные</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0848</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Станции метрополитена</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0849</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Вокзалы речные</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0850</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Станции автобусные, троллейбусные, трамвайные, лодочные</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0851</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Прочие объекты, предназначенные для перевозки и обслуживания пассажиров, обработки их багажа</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0852</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D0CECE" w:themeFill="background2" w:themeFillShade="E6"/>
            <w:vAlign w:val="center"/>
          </w:tcPr>
          <w:p w:rsidR="00783784" w:rsidRPr="000E26BC" w:rsidRDefault="00783784" w:rsidP="00F26E84">
            <w:pPr>
              <w:rPr>
                <w:rFonts w:ascii="Times New Roman" w:hAnsi="Times New Roman"/>
                <w:sz w:val="18"/>
                <w:szCs w:val="18"/>
              </w:rPr>
            </w:pPr>
            <w:r w:rsidRPr="000E26BC">
              <w:rPr>
                <w:rFonts w:ascii="Times New Roman" w:eastAsia="Times New Roman" w:hAnsi="Times New Roman"/>
                <w:b/>
                <w:color w:val="000000"/>
                <w:sz w:val="18"/>
                <w:szCs w:val="18"/>
                <w:lang w:eastAsia="ru-RU"/>
              </w:rPr>
              <w:t>Функциональная группа 9 «</w:t>
            </w:r>
            <w:r w:rsidRPr="000E26BC">
              <w:rPr>
                <w:rFonts w:ascii="Times New Roman" w:hAnsi="Times New Roman"/>
                <w:b/>
                <w:sz w:val="18"/>
                <w:szCs w:val="18"/>
              </w:rPr>
              <w:t>Прочие объекты»</w:t>
            </w:r>
          </w:p>
        </w:tc>
        <w:tc>
          <w:tcPr>
            <w:tcW w:w="1276" w:type="dxa"/>
            <w:shd w:val="clear" w:color="auto" w:fill="D0CECE" w:themeFill="background2" w:themeFillShade="E6"/>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b/>
                <w:sz w:val="18"/>
                <w:szCs w:val="18"/>
              </w:rPr>
              <w:t>0900</w:t>
            </w:r>
          </w:p>
        </w:tc>
        <w:tc>
          <w:tcPr>
            <w:tcW w:w="2268" w:type="dxa"/>
            <w:shd w:val="clear" w:color="auto" w:fill="D0CECE" w:themeFill="background2" w:themeFillShade="E6"/>
            <w:vAlign w:val="center"/>
          </w:tcPr>
          <w:p w:rsidR="00783784" w:rsidRPr="000E26BC" w:rsidRDefault="00783784" w:rsidP="00F26E84">
            <w:pPr>
              <w:jc w:val="center"/>
              <w:rPr>
                <w:rFonts w:ascii="Times New Roman" w:eastAsia="Times New Roman" w:hAnsi="Times New Roman"/>
                <w:color w:val="000000"/>
                <w:sz w:val="18"/>
                <w:szCs w:val="18"/>
                <w:lang w:eastAsia="ru-RU"/>
              </w:rPr>
            </w:pP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Объекты гражданской обороны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0901</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Погреба</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0902</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lastRenderedPageBreak/>
              <w:t>Подвалы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0903</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Сараи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0904</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Санитарные пропускники</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0905</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Гидрометеорологические станции, фотометрические будки, мареографы</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0906</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r w:rsidR="00783784" w:rsidTr="00F26E84">
        <w:tc>
          <w:tcPr>
            <w:tcW w:w="6374" w:type="dxa"/>
            <w:shd w:val="clear" w:color="auto" w:fill="auto"/>
            <w:vAlign w:val="center"/>
          </w:tcPr>
          <w:p w:rsidR="00783784" w:rsidRPr="000E26BC" w:rsidRDefault="00783784" w:rsidP="00F26E84">
            <w:pPr>
              <w:rPr>
                <w:rFonts w:ascii="Times New Roman" w:hAnsi="Times New Roman"/>
                <w:sz w:val="18"/>
                <w:szCs w:val="18"/>
              </w:rPr>
            </w:pPr>
            <w:r w:rsidRPr="000E26BC">
              <w:rPr>
                <w:rFonts w:ascii="Times New Roman" w:hAnsi="Times New Roman"/>
                <w:sz w:val="18"/>
                <w:szCs w:val="18"/>
              </w:rPr>
              <w:t>Прочие объекты и объекты вспомогательного назначения, отнесение которых к другим группам невозможно</w:t>
            </w:r>
          </w:p>
        </w:tc>
        <w:tc>
          <w:tcPr>
            <w:tcW w:w="1276" w:type="dxa"/>
            <w:shd w:val="clear" w:color="auto" w:fill="auto"/>
            <w:vAlign w:val="center"/>
          </w:tcPr>
          <w:p w:rsidR="00783784" w:rsidRPr="000E26BC" w:rsidRDefault="00783784" w:rsidP="00F26E84">
            <w:pPr>
              <w:jc w:val="center"/>
              <w:rPr>
                <w:rFonts w:ascii="Times New Roman" w:hAnsi="Times New Roman"/>
                <w:sz w:val="18"/>
                <w:szCs w:val="18"/>
              </w:rPr>
            </w:pPr>
            <w:r w:rsidRPr="000E26BC">
              <w:rPr>
                <w:rFonts w:ascii="Times New Roman" w:hAnsi="Times New Roman"/>
                <w:sz w:val="18"/>
                <w:szCs w:val="18"/>
              </w:rPr>
              <w:t>0907</w:t>
            </w:r>
          </w:p>
        </w:tc>
        <w:tc>
          <w:tcPr>
            <w:tcW w:w="2268" w:type="dxa"/>
            <w:shd w:val="clear" w:color="auto" w:fill="auto"/>
            <w:vAlign w:val="center"/>
          </w:tcPr>
          <w:p w:rsidR="00783784" w:rsidRPr="000E26BC" w:rsidRDefault="00783784" w:rsidP="00F26E84">
            <w:pPr>
              <w:jc w:val="center"/>
              <w:rPr>
                <w:rFonts w:ascii="Times New Roman" w:eastAsia="Times New Roman" w:hAnsi="Times New Roman"/>
                <w:color w:val="000000"/>
                <w:sz w:val="18"/>
                <w:szCs w:val="18"/>
                <w:lang w:eastAsia="ru-RU"/>
              </w:rPr>
            </w:pPr>
            <w:r w:rsidRPr="000E26BC">
              <w:rPr>
                <w:rFonts w:ascii="Times New Roman" w:eastAsia="Times New Roman" w:hAnsi="Times New Roman"/>
                <w:color w:val="000000"/>
                <w:sz w:val="18"/>
                <w:szCs w:val="18"/>
                <w:lang w:eastAsia="ru-RU"/>
              </w:rPr>
              <w:t>Затратный подход</w:t>
            </w:r>
          </w:p>
        </w:tc>
      </w:tr>
    </w:tbl>
    <w:p w:rsidR="00783784" w:rsidRPr="00666031" w:rsidRDefault="00783784" w:rsidP="00783784">
      <w:pPr>
        <w:spacing w:after="0" w:line="240" w:lineRule="auto"/>
        <w:ind w:firstLine="720"/>
        <w:jc w:val="both"/>
        <w:rPr>
          <w:rFonts w:ascii="Times New Roman" w:hAnsi="Times New Roman"/>
          <w:sz w:val="24"/>
          <w:lang w:eastAsia="ru-RU"/>
        </w:rPr>
      </w:pPr>
      <w:r>
        <w:rPr>
          <w:rFonts w:ascii="Times New Roman" w:hAnsi="Times New Roman"/>
          <w:sz w:val="24"/>
          <w:lang w:eastAsia="ru-RU"/>
        </w:rPr>
        <w:t>На основании требований</w:t>
      </w:r>
      <w:r w:rsidRPr="00666031">
        <w:rPr>
          <w:rFonts w:ascii="Times New Roman" w:hAnsi="Times New Roman"/>
          <w:sz w:val="24"/>
          <w:lang w:eastAsia="ru-RU"/>
        </w:rPr>
        <w:t xml:space="preserve"> </w:t>
      </w:r>
      <w:r w:rsidRPr="00F9728B">
        <w:rPr>
          <w:rFonts w:ascii="Times New Roman" w:hAnsi="Times New Roman"/>
          <w:sz w:val="24"/>
          <w:lang w:eastAsia="ru-RU"/>
        </w:rPr>
        <w:t xml:space="preserve">п.7 Методических указаний </w:t>
      </w:r>
      <w:r w:rsidRPr="00666031">
        <w:rPr>
          <w:rFonts w:ascii="Times New Roman" w:hAnsi="Times New Roman"/>
          <w:sz w:val="24"/>
          <w:lang w:eastAsia="ru-RU"/>
        </w:rPr>
        <w:t>выбраны методы определения кадастровой стоимости, сводные данные о которых, а также обоснование выбора представлены в таблицах ниже.</w:t>
      </w:r>
    </w:p>
    <w:p w:rsidR="00783784" w:rsidRDefault="00783784" w:rsidP="00783784">
      <w:pPr>
        <w:suppressAutoHyphens w:val="0"/>
        <w:rPr>
          <w:rFonts w:ascii="Times New Roman" w:hAnsi="Times New Roman"/>
          <w:b/>
          <w:sz w:val="20"/>
          <w:szCs w:val="20"/>
        </w:rPr>
      </w:pPr>
      <w:r w:rsidRPr="000E26BC">
        <w:rPr>
          <w:rFonts w:ascii="Times New Roman" w:hAnsi="Times New Roman"/>
          <w:b/>
          <w:sz w:val="20"/>
          <w:szCs w:val="20"/>
        </w:rPr>
        <w:t xml:space="preserve">Таблица </w:t>
      </w:r>
      <w:r>
        <w:rPr>
          <w:rFonts w:ascii="Times New Roman" w:hAnsi="Times New Roman"/>
          <w:b/>
          <w:sz w:val="20"/>
          <w:szCs w:val="20"/>
        </w:rPr>
        <w:t>35.</w:t>
      </w:r>
      <w:r w:rsidRPr="000E26BC">
        <w:rPr>
          <w:rFonts w:ascii="Times New Roman" w:hAnsi="Times New Roman"/>
          <w:b/>
          <w:sz w:val="20"/>
          <w:szCs w:val="20"/>
        </w:rPr>
        <w:t xml:space="preserve"> </w:t>
      </w:r>
      <w:r w:rsidRPr="00A26EA2">
        <w:rPr>
          <w:rFonts w:ascii="Times New Roman" w:hAnsi="Times New Roman"/>
          <w:b/>
          <w:sz w:val="20"/>
          <w:szCs w:val="20"/>
        </w:rPr>
        <w:t>Обоснование применения подходов и методов к оценке объектов капитального строительства. Группа 2. Дома малоэтажной жилой застройки, в том числе индивидуальной жилой застройки - индивидуальные, малоэтажные блокированные (таунхаусы</w:t>
      </w:r>
      <w:r>
        <w:rPr>
          <w:rFonts w:ascii="Times New Roman" w:hAnsi="Times New Roman"/>
          <w:b/>
          <w:sz w:val="20"/>
          <w:szCs w:val="20"/>
        </w:rPr>
        <w:t>)</w:t>
      </w:r>
    </w:p>
    <w:p w:rsidR="00783784" w:rsidRDefault="00783784" w:rsidP="00783784">
      <w:pPr>
        <w:suppressAutoHyphens w:val="0"/>
        <w:rPr>
          <w:rFonts w:ascii="Times New Roman" w:hAnsi="Times New Roman"/>
          <w:b/>
          <w:sz w:val="20"/>
          <w:szCs w:val="20"/>
        </w:rPr>
      </w:pPr>
    </w:p>
    <w:tbl>
      <w:tblPr>
        <w:tblpPr w:leftFromText="180" w:rightFromText="180" w:vertAnchor="text" w:horzAnchor="margin" w:tblpY="5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3403"/>
        <w:gridCol w:w="3745"/>
      </w:tblGrid>
      <w:tr w:rsidR="00783784" w:rsidRPr="00783784" w:rsidTr="00F26E84">
        <w:trPr>
          <w:trHeight w:val="702"/>
          <w:tblHeader/>
        </w:trPr>
        <w:tc>
          <w:tcPr>
            <w:tcW w:w="1494" w:type="pct"/>
            <w:vMerge w:val="restart"/>
            <w:shd w:val="clear" w:color="auto" w:fill="BFBFBF" w:themeFill="background1" w:themeFillShade="BF"/>
            <w:vAlign w:val="center"/>
          </w:tcPr>
          <w:p w:rsidR="00783784" w:rsidRPr="00783784" w:rsidRDefault="00783784" w:rsidP="00783784">
            <w:pPr>
              <w:autoSpaceDN/>
              <w:spacing w:after="0" w:line="240" w:lineRule="auto"/>
              <w:jc w:val="center"/>
              <w:textAlignment w:val="auto"/>
              <w:rPr>
                <w:rFonts w:ascii="Times New Roman" w:eastAsia="Times New Roman" w:hAnsi="Times New Roman"/>
                <w:b/>
                <w:bCs/>
                <w:color w:val="000000"/>
                <w:sz w:val="20"/>
                <w:szCs w:val="20"/>
                <w:lang w:eastAsia="ru-RU"/>
              </w:rPr>
            </w:pPr>
            <w:r w:rsidRPr="00783784">
              <w:rPr>
                <w:rFonts w:ascii="Times New Roman" w:eastAsia="Times New Roman" w:hAnsi="Times New Roman"/>
                <w:b/>
                <w:bCs/>
                <w:color w:val="000000"/>
                <w:sz w:val="20"/>
                <w:szCs w:val="20"/>
                <w:lang w:eastAsia="ru-RU"/>
              </w:rPr>
              <w:t>Наименование подгруппы</w:t>
            </w:r>
          </w:p>
        </w:tc>
        <w:tc>
          <w:tcPr>
            <w:tcW w:w="3506" w:type="pct"/>
            <w:gridSpan w:val="2"/>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bCs/>
                <w:color w:val="000000"/>
                <w:sz w:val="20"/>
                <w:szCs w:val="20"/>
                <w:lang w:eastAsia="ru-RU"/>
              </w:rPr>
              <w:t>Дома индивидуальной жилой застройки - индивидуальные, малоэтажные блокированные (таунхаусы)</w:t>
            </w:r>
          </w:p>
        </w:tc>
      </w:tr>
      <w:tr w:rsidR="00783784" w:rsidRPr="00783784" w:rsidTr="00F26E84">
        <w:trPr>
          <w:trHeight w:val="20"/>
          <w:tblHeader/>
        </w:trPr>
        <w:tc>
          <w:tcPr>
            <w:tcW w:w="1494" w:type="pct"/>
            <w:vMerge/>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
                <w:bCs/>
                <w:color w:val="000000"/>
                <w:sz w:val="20"/>
                <w:szCs w:val="20"/>
                <w:lang w:eastAsia="ru-RU"/>
              </w:rPr>
            </w:pPr>
          </w:p>
        </w:tc>
        <w:tc>
          <w:tcPr>
            <w:tcW w:w="1669"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FF0000"/>
                <w:sz w:val="20"/>
                <w:szCs w:val="20"/>
                <w:lang w:eastAsia="ru-RU"/>
              </w:rPr>
            </w:pPr>
            <w:r w:rsidRPr="00783784">
              <w:rPr>
                <w:rFonts w:ascii="Times New Roman" w:eastAsia="Times New Roman" w:hAnsi="Times New Roman"/>
                <w:bCs/>
                <w:color w:val="000000"/>
                <w:sz w:val="20"/>
                <w:szCs w:val="20"/>
                <w:lang w:eastAsia="ru-RU"/>
              </w:rPr>
              <w:t>Объекты незавершенного строительства</w:t>
            </w:r>
          </w:p>
        </w:tc>
        <w:tc>
          <w:tcPr>
            <w:tcW w:w="183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bCs/>
                <w:color w:val="000000"/>
                <w:sz w:val="20"/>
                <w:szCs w:val="20"/>
                <w:lang w:eastAsia="ru-RU"/>
              </w:rPr>
              <w:t>Сооружения</w:t>
            </w:r>
          </w:p>
        </w:tc>
      </w:tr>
      <w:tr w:rsidR="00783784" w:rsidRPr="00783784" w:rsidTr="00F26E84">
        <w:trPr>
          <w:trHeight w:val="20"/>
        </w:trPr>
        <w:tc>
          <w:tcPr>
            <w:tcW w:w="1494"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Наименование метода</w:t>
            </w:r>
          </w:p>
        </w:tc>
        <w:tc>
          <w:tcPr>
            <w:tcW w:w="1669"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FF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83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r>
      <w:tr w:rsidR="00783784" w:rsidRPr="00783784" w:rsidTr="00F26E84">
        <w:trPr>
          <w:trHeight w:val="20"/>
        </w:trPr>
        <w:tc>
          <w:tcPr>
            <w:tcW w:w="1494"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Обоснование выбора подходов и методов, использованных для определения кадастровой стоимости</w:t>
            </w:r>
          </w:p>
        </w:tc>
        <w:tc>
          <w:tcPr>
            <w:tcW w:w="1669"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FF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c>
          <w:tcPr>
            <w:tcW w:w="183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r>
    </w:tbl>
    <w:p w:rsidR="00783784" w:rsidRDefault="00783784" w:rsidP="00783784">
      <w:pPr>
        <w:suppressAutoHyphens w:val="0"/>
        <w:rPr>
          <w:rFonts w:ascii="Times New Roman" w:hAnsi="Times New Roman"/>
          <w:b/>
          <w:sz w:val="20"/>
          <w:szCs w:val="20"/>
        </w:rPr>
      </w:pPr>
    </w:p>
    <w:p w:rsidR="00783784" w:rsidRPr="00783784" w:rsidRDefault="00783784" w:rsidP="00783784">
      <w:pPr>
        <w:spacing w:before="120" w:after="0" w:line="240" w:lineRule="auto"/>
        <w:jc w:val="right"/>
        <w:rPr>
          <w:rFonts w:ascii="Times New Roman" w:hAnsi="Times New Roman"/>
          <w:b/>
          <w:i/>
          <w:iCs/>
          <w:sz w:val="20"/>
          <w:szCs w:val="20"/>
        </w:rPr>
      </w:pPr>
      <w:r w:rsidRPr="00783784">
        <w:rPr>
          <w:rFonts w:ascii="Times New Roman" w:hAnsi="Times New Roman"/>
          <w:b/>
          <w:i/>
          <w:iCs/>
          <w:sz w:val="20"/>
          <w:szCs w:val="20"/>
        </w:rPr>
        <w:t>Таблица 36. Обоснование применения подходов и методов к оценке объектов капитального строительства. Группа 3. Объекты, предназначенные для хранения транспорта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7"/>
        <w:gridCol w:w="2235"/>
        <w:gridCol w:w="2416"/>
        <w:gridCol w:w="2416"/>
      </w:tblGrid>
      <w:tr w:rsidR="00783784" w:rsidRPr="00783784" w:rsidTr="00F26E84">
        <w:trPr>
          <w:trHeight w:val="20"/>
          <w:tblHeader/>
          <w:jc w:val="center"/>
        </w:trPr>
        <w:tc>
          <w:tcPr>
            <w:tcW w:w="1534"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
                <w:bCs/>
                <w:color w:val="000000"/>
                <w:sz w:val="20"/>
                <w:szCs w:val="20"/>
                <w:lang w:eastAsia="ru-RU"/>
              </w:rPr>
            </w:pPr>
            <w:r w:rsidRPr="00783784">
              <w:rPr>
                <w:rFonts w:ascii="Times New Roman" w:eastAsia="Times New Roman" w:hAnsi="Times New Roman"/>
                <w:b/>
                <w:bCs/>
                <w:color w:val="000000"/>
                <w:sz w:val="20"/>
                <w:szCs w:val="20"/>
                <w:lang w:eastAsia="ru-RU"/>
              </w:rPr>
              <w:t>Наименование подгруппы</w:t>
            </w:r>
          </w:p>
        </w:tc>
        <w:tc>
          <w:tcPr>
            <w:tcW w:w="1096"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bCs/>
                <w:color w:val="000000"/>
                <w:sz w:val="20"/>
                <w:szCs w:val="20"/>
                <w:lang w:eastAsia="ru-RU"/>
              </w:rPr>
              <w:t>Машино-места</w:t>
            </w:r>
          </w:p>
        </w:tc>
        <w:tc>
          <w:tcPr>
            <w:tcW w:w="1185"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bCs/>
                <w:color w:val="000000"/>
                <w:sz w:val="20"/>
                <w:szCs w:val="20"/>
                <w:lang w:eastAsia="ru-RU"/>
              </w:rPr>
              <w:t>Сооружения</w:t>
            </w:r>
          </w:p>
        </w:tc>
        <w:tc>
          <w:tcPr>
            <w:tcW w:w="1185"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bCs/>
                <w:color w:val="000000"/>
                <w:sz w:val="20"/>
                <w:szCs w:val="20"/>
                <w:lang w:eastAsia="ru-RU"/>
              </w:rPr>
              <w:t>Объекты незавершенного строительства</w:t>
            </w:r>
          </w:p>
        </w:tc>
      </w:tr>
      <w:tr w:rsidR="00783784" w:rsidRPr="00783784" w:rsidTr="00F26E84">
        <w:trPr>
          <w:trHeight w:val="20"/>
          <w:jc w:val="center"/>
        </w:trPr>
        <w:tc>
          <w:tcPr>
            <w:tcW w:w="1534"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Наименование метода</w:t>
            </w:r>
          </w:p>
        </w:tc>
        <w:tc>
          <w:tcPr>
            <w:tcW w:w="1096" w:type="pct"/>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185"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185"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r>
      <w:tr w:rsidR="00783784" w:rsidRPr="00783784" w:rsidTr="00F26E84">
        <w:trPr>
          <w:trHeight w:val="20"/>
          <w:jc w:val="center"/>
        </w:trPr>
        <w:tc>
          <w:tcPr>
            <w:tcW w:w="1534"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Обоснование выбора подходов и методов, использованных для определения кадастровой стоимости</w:t>
            </w:r>
          </w:p>
        </w:tc>
        <w:tc>
          <w:tcPr>
            <w:tcW w:w="1096"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c>
          <w:tcPr>
            <w:tcW w:w="1185"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c>
          <w:tcPr>
            <w:tcW w:w="1185"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r>
    </w:tbl>
    <w:p w:rsidR="00783784" w:rsidRPr="00783784" w:rsidRDefault="00783784" w:rsidP="00783784">
      <w:pPr>
        <w:spacing w:before="120" w:after="0" w:line="240" w:lineRule="auto"/>
        <w:jc w:val="right"/>
        <w:rPr>
          <w:rFonts w:ascii="Times New Roman" w:hAnsi="Times New Roman"/>
          <w:b/>
          <w:i/>
          <w:iCs/>
          <w:sz w:val="20"/>
          <w:szCs w:val="20"/>
        </w:rPr>
      </w:pPr>
      <w:r w:rsidRPr="00783784">
        <w:rPr>
          <w:rFonts w:ascii="Times New Roman" w:hAnsi="Times New Roman"/>
          <w:b/>
          <w:i/>
          <w:iCs/>
          <w:sz w:val="20"/>
          <w:szCs w:val="20"/>
        </w:rPr>
        <w:t>Таблица 37. Обоснование применения подходов и методов к оценке объектов капитального строительства. Группа 4. Объекты коммерческого назначения, предназначенные для оказания услуг населению, включая многофункционального назначения</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3399"/>
        <w:gridCol w:w="3399"/>
      </w:tblGrid>
      <w:tr w:rsidR="00783784" w:rsidRPr="00783784" w:rsidTr="00F26E84">
        <w:trPr>
          <w:trHeight w:val="20"/>
          <w:tblHeader/>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
                <w:bCs/>
                <w:color w:val="000000"/>
                <w:sz w:val="20"/>
                <w:szCs w:val="20"/>
                <w:lang w:eastAsia="ru-RU"/>
              </w:rPr>
            </w:pPr>
            <w:r w:rsidRPr="00783784">
              <w:rPr>
                <w:rFonts w:ascii="Times New Roman" w:eastAsia="Times New Roman" w:hAnsi="Times New Roman"/>
                <w:b/>
                <w:bCs/>
                <w:color w:val="000000"/>
                <w:sz w:val="20"/>
                <w:szCs w:val="20"/>
                <w:lang w:eastAsia="ru-RU"/>
              </w:rPr>
              <w:t>Наименование подгруппы</w:t>
            </w:r>
          </w:p>
        </w:tc>
        <w:tc>
          <w:tcPr>
            <w:tcW w:w="1667"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bCs/>
                <w:color w:val="000000"/>
                <w:sz w:val="20"/>
                <w:szCs w:val="20"/>
                <w:lang w:eastAsia="ru-RU"/>
              </w:rPr>
              <w:t>Сооружения</w:t>
            </w:r>
          </w:p>
        </w:tc>
        <w:tc>
          <w:tcPr>
            <w:tcW w:w="166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bCs/>
                <w:color w:val="000000"/>
                <w:sz w:val="20"/>
                <w:szCs w:val="20"/>
                <w:lang w:eastAsia="ru-RU"/>
              </w:rPr>
              <w:t>Объекты незавершенного строительства</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Наименование метода</w:t>
            </w:r>
          </w:p>
        </w:tc>
        <w:tc>
          <w:tcPr>
            <w:tcW w:w="1667" w:type="pct"/>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667"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Обоснование выбора подходов и методов, использованных для определения кадастровой стоимости</w:t>
            </w:r>
          </w:p>
        </w:tc>
        <w:tc>
          <w:tcPr>
            <w:tcW w:w="1667"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c>
          <w:tcPr>
            <w:tcW w:w="166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r>
    </w:tbl>
    <w:p w:rsidR="00783784" w:rsidRPr="00783784" w:rsidRDefault="00783784" w:rsidP="00783784">
      <w:pPr>
        <w:spacing w:before="120" w:after="120" w:line="240" w:lineRule="auto"/>
        <w:jc w:val="right"/>
        <w:rPr>
          <w:rFonts w:ascii="Times New Roman" w:hAnsi="Times New Roman"/>
          <w:b/>
          <w:i/>
          <w:iCs/>
          <w:sz w:val="20"/>
          <w:szCs w:val="20"/>
        </w:rPr>
      </w:pPr>
      <w:r w:rsidRPr="00783784">
        <w:rPr>
          <w:rFonts w:ascii="Times New Roman" w:hAnsi="Times New Roman"/>
          <w:b/>
          <w:i/>
          <w:iCs/>
          <w:sz w:val="20"/>
          <w:szCs w:val="20"/>
        </w:rPr>
        <w:t>Таблица 38. Обоснование применения подходов и методов к оценке объектов капитального строительства. Группа 5. Объекты временного проживания, включая объекты рекреационно-оздоровительного значения</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3399"/>
        <w:gridCol w:w="3399"/>
      </w:tblGrid>
      <w:tr w:rsidR="00783784" w:rsidRPr="00783784" w:rsidTr="00F26E84">
        <w:trPr>
          <w:trHeight w:val="20"/>
          <w:tblHeader/>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
                <w:bCs/>
                <w:color w:val="000000"/>
                <w:sz w:val="20"/>
                <w:szCs w:val="20"/>
                <w:lang w:eastAsia="ru-RU"/>
              </w:rPr>
            </w:pPr>
            <w:r w:rsidRPr="00783784">
              <w:rPr>
                <w:rFonts w:ascii="Times New Roman" w:eastAsia="Times New Roman" w:hAnsi="Times New Roman"/>
                <w:b/>
                <w:bCs/>
                <w:color w:val="000000"/>
                <w:sz w:val="20"/>
                <w:szCs w:val="20"/>
                <w:lang w:eastAsia="ru-RU"/>
              </w:rPr>
              <w:lastRenderedPageBreak/>
              <w:t>Наименование подгруппы</w:t>
            </w:r>
          </w:p>
        </w:tc>
        <w:tc>
          <w:tcPr>
            <w:tcW w:w="1667" w:type="pct"/>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Сооружения</w:t>
            </w:r>
          </w:p>
        </w:tc>
        <w:tc>
          <w:tcPr>
            <w:tcW w:w="1667"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Объекты незавершенного строительства</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Наименование метода</w:t>
            </w:r>
          </w:p>
        </w:tc>
        <w:tc>
          <w:tcPr>
            <w:tcW w:w="1667" w:type="pct"/>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667"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Обоснование выбора подходов и методов, использованных для определения кадастровой стоимости</w:t>
            </w:r>
          </w:p>
        </w:tc>
        <w:tc>
          <w:tcPr>
            <w:tcW w:w="1667"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val="en-US" w:eastAsia="ru-RU"/>
              </w:rPr>
            </w:pPr>
            <w:r w:rsidRPr="00783784">
              <w:rPr>
                <w:rFonts w:ascii="Times New Roman" w:eastAsia="Times New Roman" w:hAnsi="Times New Roman"/>
                <w:color w:val="000000"/>
                <w:sz w:val="20"/>
                <w:szCs w:val="20"/>
                <w:lang w:eastAsia="ru-RU"/>
              </w:rPr>
              <w:t>пп.7.1.2 Методических указаний</w:t>
            </w:r>
          </w:p>
        </w:tc>
        <w:tc>
          <w:tcPr>
            <w:tcW w:w="166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r>
    </w:tbl>
    <w:p w:rsidR="00783784" w:rsidRPr="00783784" w:rsidRDefault="00783784" w:rsidP="00783784">
      <w:pPr>
        <w:spacing w:before="120" w:after="120" w:line="240" w:lineRule="auto"/>
        <w:jc w:val="right"/>
        <w:rPr>
          <w:rFonts w:ascii="Times New Roman" w:hAnsi="Times New Roman"/>
          <w:b/>
          <w:i/>
          <w:iCs/>
          <w:sz w:val="20"/>
          <w:szCs w:val="20"/>
        </w:rPr>
      </w:pPr>
      <w:r w:rsidRPr="00783784">
        <w:rPr>
          <w:rFonts w:ascii="Times New Roman" w:hAnsi="Times New Roman"/>
          <w:b/>
          <w:i/>
          <w:iCs/>
          <w:sz w:val="20"/>
          <w:szCs w:val="20"/>
        </w:rPr>
        <w:t>Таблица 39. Обоснование применения подходов и методов к оценке объектов капитального строительства. Группа 6. Административные и бытовые объекты</w:t>
      </w:r>
    </w:p>
    <w:tbl>
      <w:tblPr>
        <w:tblW w:w="491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3343"/>
        <w:gridCol w:w="3343"/>
      </w:tblGrid>
      <w:tr w:rsidR="00783784" w:rsidRPr="00783784" w:rsidTr="00F26E84">
        <w:trPr>
          <w:trHeight w:val="20"/>
          <w:tblHeader/>
        </w:trPr>
        <w:tc>
          <w:tcPr>
            <w:tcW w:w="1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
                <w:bCs/>
                <w:color w:val="000000"/>
                <w:sz w:val="20"/>
                <w:szCs w:val="20"/>
                <w:lang w:eastAsia="ru-RU"/>
              </w:rPr>
            </w:pPr>
            <w:r w:rsidRPr="00783784">
              <w:rPr>
                <w:rFonts w:ascii="Times New Roman" w:eastAsia="Times New Roman" w:hAnsi="Times New Roman"/>
                <w:b/>
                <w:bCs/>
                <w:color w:val="000000"/>
                <w:sz w:val="20"/>
                <w:szCs w:val="20"/>
                <w:lang w:eastAsia="ru-RU"/>
              </w:rPr>
              <w:t>Наименование подгруппы</w:t>
            </w:r>
          </w:p>
        </w:tc>
        <w:tc>
          <w:tcPr>
            <w:tcW w:w="1667" w:type="pct"/>
            <w:tcBorders>
              <w:top w:val="single" w:sz="4" w:space="0" w:color="auto"/>
              <w:left w:val="single" w:sz="4" w:space="0" w:color="auto"/>
              <w:bottom w:val="single" w:sz="4" w:space="0" w:color="auto"/>
              <w:right w:val="single" w:sz="4" w:space="0" w:color="auto"/>
            </w:tcBorders>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Сооружения</w:t>
            </w:r>
          </w:p>
        </w:tc>
        <w:tc>
          <w:tcPr>
            <w:tcW w:w="1667" w:type="pct"/>
            <w:tcBorders>
              <w:top w:val="single" w:sz="4" w:space="0" w:color="auto"/>
              <w:left w:val="single" w:sz="4" w:space="0" w:color="auto"/>
              <w:bottom w:val="single" w:sz="4" w:space="0" w:color="auto"/>
              <w:right w:val="single" w:sz="4" w:space="0" w:color="auto"/>
            </w:tcBorders>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Объекты незавершенного строительства</w:t>
            </w:r>
          </w:p>
        </w:tc>
      </w:tr>
      <w:tr w:rsidR="00783784" w:rsidRPr="00783784" w:rsidTr="00F26E84">
        <w:trPr>
          <w:trHeight w:val="20"/>
        </w:trPr>
        <w:tc>
          <w:tcPr>
            <w:tcW w:w="1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Наименование метода</w:t>
            </w:r>
          </w:p>
        </w:tc>
        <w:tc>
          <w:tcPr>
            <w:tcW w:w="1667" w:type="pct"/>
            <w:tcBorders>
              <w:top w:val="single" w:sz="4" w:space="0" w:color="auto"/>
              <w:left w:val="single" w:sz="4" w:space="0" w:color="auto"/>
              <w:bottom w:val="single" w:sz="4" w:space="0" w:color="auto"/>
              <w:right w:val="single" w:sz="4" w:space="0" w:color="auto"/>
            </w:tcBorders>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667" w:type="pct"/>
            <w:tcBorders>
              <w:top w:val="single" w:sz="4" w:space="0" w:color="auto"/>
              <w:left w:val="single" w:sz="4" w:space="0" w:color="auto"/>
              <w:bottom w:val="single" w:sz="4" w:space="0" w:color="auto"/>
              <w:right w:val="single" w:sz="4" w:space="0" w:color="auto"/>
            </w:tcBorders>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r>
      <w:tr w:rsidR="00783784" w:rsidRPr="00783784" w:rsidTr="00F26E84">
        <w:trPr>
          <w:trHeight w:val="20"/>
        </w:trPr>
        <w:tc>
          <w:tcPr>
            <w:tcW w:w="1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Обоснование выбора подходов и методов, использованных для определения кадастровой стоимости</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val="en-US" w:eastAsia="ru-RU"/>
              </w:rPr>
            </w:pPr>
            <w:r w:rsidRPr="00783784">
              <w:rPr>
                <w:rFonts w:ascii="Times New Roman" w:eastAsia="Times New Roman" w:hAnsi="Times New Roman"/>
                <w:color w:val="000000"/>
                <w:sz w:val="20"/>
                <w:szCs w:val="20"/>
                <w:lang w:eastAsia="ru-RU"/>
              </w:rPr>
              <w:t>пп.7.1.2 Методических указаний</w:t>
            </w:r>
          </w:p>
        </w:tc>
        <w:tc>
          <w:tcPr>
            <w:tcW w:w="1667" w:type="pct"/>
            <w:tcBorders>
              <w:top w:val="single" w:sz="4" w:space="0" w:color="auto"/>
              <w:left w:val="single" w:sz="4" w:space="0" w:color="auto"/>
              <w:bottom w:val="single" w:sz="4" w:space="0" w:color="auto"/>
              <w:right w:val="single" w:sz="4" w:space="0" w:color="auto"/>
            </w:tcBorders>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r>
    </w:tbl>
    <w:tbl>
      <w:tblPr>
        <w:tblpPr w:leftFromText="180" w:rightFromText="180" w:vertAnchor="text" w:horzAnchor="margin" w:tblpY="958"/>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3342"/>
        <w:gridCol w:w="3342"/>
      </w:tblGrid>
      <w:tr w:rsidR="00783784" w:rsidRPr="00783784" w:rsidTr="00F26E84">
        <w:trPr>
          <w:trHeight w:val="20"/>
          <w:tblHeader/>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
                <w:bCs/>
                <w:color w:val="000000"/>
                <w:sz w:val="20"/>
                <w:szCs w:val="20"/>
                <w:lang w:eastAsia="ru-RU"/>
              </w:rPr>
            </w:pPr>
            <w:r w:rsidRPr="00783784">
              <w:rPr>
                <w:rFonts w:ascii="Times New Roman" w:eastAsia="Times New Roman" w:hAnsi="Times New Roman"/>
                <w:b/>
                <w:bCs/>
                <w:color w:val="000000"/>
                <w:sz w:val="20"/>
                <w:szCs w:val="20"/>
                <w:lang w:eastAsia="ru-RU"/>
              </w:rPr>
              <w:t>Наименование подгруппы</w:t>
            </w:r>
          </w:p>
        </w:tc>
        <w:tc>
          <w:tcPr>
            <w:tcW w:w="1667" w:type="pct"/>
            <w:tcBorders>
              <w:top w:val="single" w:sz="4" w:space="0" w:color="auto"/>
              <w:left w:val="single" w:sz="4" w:space="0" w:color="auto"/>
              <w:bottom w:val="single" w:sz="4" w:space="0" w:color="auto"/>
              <w:right w:val="single" w:sz="4" w:space="0" w:color="auto"/>
            </w:tcBorders>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color w:val="000000"/>
                <w:sz w:val="20"/>
                <w:szCs w:val="20"/>
                <w:lang w:eastAsia="ru-RU"/>
              </w:rPr>
              <w:t>Сооружения</w:t>
            </w:r>
          </w:p>
        </w:tc>
        <w:tc>
          <w:tcPr>
            <w:tcW w:w="1667" w:type="pct"/>
            <w:tcBorders>
              <w:top w:val="single" w:sz="4" w:space="0" w:color="auto"/>
              <w:left w:val="single" w:sz="4" w:space="0" w:color="auto"/>
              <w:bottom w:val="single" w:sz="4" w:space="0" w:color="auto"/>
              <w:right w:val="single" w:sz="4" w:space="0" w:color="auto"/>
            </w:tcBorders>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color w:val="000000"/>
                <w:sz w:val="20"/>
                <w:szCs w:val="20"/>
                <w:lang w:eastAsia="ru-RU"/>
              </w:rPr>
              <w:t>Объекты незавершенного строительства</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Наименование метода</w:t>
            </w:r>
          </w:p>
        </w:tc>
        <w:tc>
          <w:tcPr>
            <w:tcW w:w="1667" w:type="pct"/>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667"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Обоснование выбора подходов и методов, использованных для определения кадастровой стоимости</w:t>
            </w:r>
          </w:p>
        </w:tc>
        <w:tc>
          <w:tcPr>
            <w:tcW w:w="1667"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val="en-US" w:eastAsia="ru-RU"/>
              </w:rPr>
            </w:pPr>
            <w:r w:rsidRPr="00783784">
              <w:rPr>
                <w:rFonts w:ascii="Times New Roman" w:eastAsia="Times New Roman" w:hAnsi="Times New Roman"/>
                <w:color w:val="000000"/>
                <w:sz w:val="20"/>
                <w:szCs w:val="20"/>
                <w:lang w:eastAsia="ru-RU"/>
              </w:rPr>
              <w:t>пп.7.1.2 Методических указаний</w:t>
            </w:r>
          </w:p>
        </w:tc>
        <w:tc>
          <w:tcPr>
            <w:tcW w:w="166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r>
    </w:tbl>
    <w:p w:rsidR="00783784" w:rsidRPr="00783784" w:rsidRDefault="00783784" w:rsidP="00783784">
      <w:pPr>
        <w:spacing w:before="120" w:after="120" w:line="240" w:lineRule="auto"/>
        <w:jc w:val="right"/>
        <w:rPr>
          <w:rFonts w:ascii="Times New Roman" w:hAnsi="Times New Roman"/>
          <w:b/>
          <w:i/>
          <w:iCs/>
          <w:sz w:val="20"/>
          <w:szCs w:val="20"/>
        </w:rPr>
      </w:pPr>
      <w:r w:rsidRPr="00783784">
        <w:rPr>
          <w:rFonts w:ascii="Times New Roman" w:hAnsi="Times New Roman"/>
          <w:b/>
          <w:i/>
          <w:iCs/>
          <w:sz w:val="20"/>
          <w:szCs w:val="20"/>
        </w:rPr>
        <w:t xml:space="preserve"> Таблица 40. Обоснование применения подходов и методов к оценке объектов капитального строительства. Группа 7. Объекты производственного назначения, за исключением передаточных устройств и сооружений</w:t>
      </w:r>
    </w:p>
    <w:p w:rsidR="00783784" w:rsidRPr="00783784" w:rsidRDefault="00783784" w:rsidP="00783784">
      <w:pPr>
        <w:spacing w:before="120" w:after="120" w:line="240" w:lineRule="auto"/>
        <w:jc w:val="right"/>
        <w:rPr>
          <w:rFonts w:ascii="Times New Roman" w:hAnsi="Times New Roman"/>
          <w:b/>
          <w:i/>
          <w:iCs/>
          <w:color w:val="44546A"/>
          <w:sz w:val="20"/>
          <w:szCs w:val="20"/>
        </w:rPr>
      </w:pPr>
      <w:r w:rsidRPr="00783784">
        <w:rPr>
          <w:rFonts w:ascii="Times New Roman" w:hAnsi="Times New Roman"/>
          <w:b/>
          <w:i/>
          <w:iCs/>
          <w:sz w:val="20"/>
          <w:szCs w:val="20"/>
        </w:rPr>
        <w:t>Таблица 41. Обоснование применения подходов и методов к оценке объектов капитального строительства. Группа 8. Учебные, спортивные объекты, объекты культуры и искусства, культовые объекты, музеи, лечебно-оздоровительные и общественного назначения объекты</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3399"/>
        <w:gridCol w:w="3399"/>
      </w:tblGrid>
      <w:tr w:rsidR="00783784" w:rsidRPr="00783784" w:rsidTr="00F26E84">
        <w:trPr>
          <w:trHeight w:val="20"/>
          <w:tblHeader/>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
                <w:bCs/>
                <w:color w:val="000000"/>
                <w:sz w:val="20"/>
                <w:szCs w:val="20"/>
                <w:lang w:eastAsia="ru-RU"/>
              </w:rPr>
            </w:pPr>
            <w:r w:rsidRPr="00783784">
              <w:rPr>
                <w:rFonts w:ascii="Times New Roman" w:eastAsia="Times New Roman" w:hAnsi="Times New Roman"/>
                <w:b/>
                <w:bCs/>
                <w:color w:val="000000"/>
                <w:sz w:val="20"/>
                <w:szCs w:val="20"/>
                <w:lang w:eastAsia="ru-RU"/>
              </w:rPr>
              <w:t>Наименование подгруппы</w:t>
            </w:r>
          </w:p>
        </w:tc>
        <w:tc>
          <w:tcPr>
            <w:tcW w:w="1667" w:type="pct"/>
            <w:tcBorders>
              <w:top w:val="single" w:sz="4" w:space="0" w:color="auto"/>
              <w:left w:val="single" w:sz="4" w:space="0" w:color="auto"/>
              <w:bottom w:val="single" w:sz="4" w:space="0" w:color="auto"/>
              <w:right w:val="single" w:sz="4" w:space="0" w:color="auto"/>
            </w:tcBorders>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color w:val="000000"/>
                <w:sz w:val="20"/>
                <w:szCs w:val="20"/>
                <w:lang w:eastAsia="ru-RU"/>
              </w:rPr>
              <w:t>Сооружения</w:t>
            </w:r>
          </w:p>
        </w:tc>
        <w:tc>
          <w:tcPr>
            <w:tcW w:w="1667" w:type="pct"/>
            <w:tcBorders>
              <w:top w:val="single" w:sz="4" w:space="0" w:color="auto"/>
              <w:left w:val="single" w:sz="4" w:space="0" w:color="auto"/>
              <w:bottom w:val="single" w:sz="4" w:space="0" w:color="auto"/>
              <w:right w:val="single" w:sz="4" w:space="0" w:color="auto"/>
            </w:tcBorders>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color w:val="000000"/>
                <w:sz w:val="20"/>
                <w:szCs w:val="20"/>
                <w:lang w:eastAsia="ru-RU"/>
              </w:rPr>
              <w:t>Объекты незавершенного строительства</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Наименование метода</w:t>
            </w:r>
          </w:p>
        </w:tc>
        <w:tc>
          <w:tcPr>
            <w:tcW w:w="1667" w:type="pct"/>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667"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Обоснование выбора подходов и методов, использованных для определения кадастровой стоимости</w:t>
            </w:r>
          </w:p>
        </w:tc>
        <w:tc>
          <w:tcPr>
            <w:tcW w:w="1667"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val="en-US" w:eastAsia="ru-RU"/>
              </w:rPr>
            </w:pPr>
            <w:r w:rsidRPr="00783784">
              <w:rPr>
                <w:rFonts w:ascii="Times New Roman" w:eastAsia="Times New Roman" w:hAnsi="Times New Roman"/>
                <w:color w:val="000000"/>
                <w:sz w:val="20"/>
                <w:szCs w:val="20"/>
                <w:lang w:eastAsia="ru-RU"/>
              </w:rPr>
              <w:t>пп.7.1.2 Методических указаний</w:t>
            </w:r>
          </w:p>
        </w:tc>
        <w:tc>
          <w:tcPr>
            <w:tcW w:w="166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r>
    </w:tbl>
    <w:p w:rsidR="00783784" w:rsidRPr="00783784" w:rsidRDefault="00783784" w:rsidP="00783784">
      <w:pPr>
        <w:spacing w:before="120" w:after="120" w:line="240" w:lineRule="auto"/>
        <w:jc w:val="right"/>
        <w:rPr>
          <w:rFonts w:ascii="Times New Roman" w:hAnsi="Times New Roman"/>
          <w:b/>
          <w:i/>
          <w:iCs/>
          <w:sz w:val="20"/>
          <w:szCs w:val="20"/>
        </w:rPr>
      </w:pPr>
      <w:r w:rsidRPr="00783784">
        <w:rPr>
          <w:rFonts w:ascii="Times New Roman" w:hAnsi="Times New Roman"/>
          <w:b/>
          <w:i/>
          <w:iCs/>
          <w:sz w:val="20"/>
          <w:szCs w:val="20"/>
        </w:rPr>
        <w:t>Таблица 42. Обоснование применения подходов и методов к оценке объектов капитального строительства. Группа 9. Прочие объекты</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3399"/>
        <w:gridCol w:w="3399"/>
      </w:tblGrid>
      <w:tr w:rsidR="00783784" w:rsidRPr="00783784" w:rsidTr="00F26E84">
        <w:trPr>
          <w:trHeight w:val="20"/>
          <w:tblHeader/>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
                <w:bCs/>
                <w:color w:val="000000"/>
                <w:sz w:val="20"/>
                <w:szCs w:val="20"/>
                <w:lang w:eastAsia="ru-RU"/>
              </w:rPr>
            </w:pPr>
            <w:r w:rsidRPr="00783784">
              <w:rPr>
                <w:rFonts w:ascii="Times New Roman" w:eastAsia="Times New Roman" w:hAnsi="Times New Roman"/>
                <w:b/>
                <w:bCs/>
                <w:color w:val="000000"/>
                <w:sz w:val="20"/>
                <w:szCs w:val="20"/>
                <w:lang w:eastAsia="ru-RU"/>
              </w:rPr>
              <w:t>Наименование подгруппы</w:t>
            </w:r>
          </w:p>
        </w:tc>
        <w:tc>
          <w:tcPr>
            <w:tcW w:w="1667" w:type="pct"/>
            <w:tcBorders>
              <w:top w:val="single" w:sz="4" w:space="0" w:color="auto"/>
              <w:left w:val="single" w:sz="4" w:space="0" w:color="auto"/>
              <w:bottom w:val="single" w:sz="4" w:space="0" w:color="auto"/>
              <w:right w:val="single" w:sz="4" w:space="0" w:color="auto"/>
            </w:tcBorders>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color w:val="000000"/>
                <w:sz w:val="20"/>
                <w:szCs w:val="20"/>
                <w:lang w:eastAsia="ru-RU"/>
              </w:rPr>
              <w:t>Сооружения</w:t>
            </w:r>
          </w:p>
        </w:tc>
        <w:tc>
          <w:tcPr>
            <w:tcW w:w="1667" w:type="pct"/>
            <w:tcBorders>
              <w:top w:val="single" w:sz="4" w:space="0" w:color="auto"/>
              <w:left w:val="single" w:sz="4" w:space="0" w:color="auto"/>
              <w:bottom w:val="single" w:sz="4" w:space="0" w:color="auto"/>
              <w:right w:val="single" w:sz="4" w:space="0" w:color="auto"/>
            </w:tcBorders>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color w:val="000000"/>
                <w:sz w:val="20"/>
                <w:szCs w:val="20"/>
                <w:lang w:eastAsia="ru-RU"/>
              </w:rPr>
              <w:t>Объекты незавершенного строительства</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Наименование метода</w:t>
            </w:r>
          </w:p>
        </w:tc>
        <w:tc>
          <w:tcPr>
            <w:tcW w:w="1667" w:type="pct"/>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667"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Обоснование выбора подходов и методов, использованных для определения кадастровой стоимости</w:t>
            </w:r>
          </w:p>
        </w:tc>
        <w:tc>
          <w:tcPr>
            <w:tcW w:w="1667"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val="en-US" w:eastAsia="ru-RU"/>
              </w:rPr>
            </w:pPr>
            <w:r w:rsidRPr="00783784">
              <w:rPr>
                <w:rFonts w:ascii="Times New Roman" w:eastAsia="Times New Roman" w:hAnsi="Times New Roman"/>
                <w:color w:val="000000"/>
                <w:sz w:val="20"/>
                <w:szCs w:val="20"/>
                <w:lang w:eastAsia="ru-RU"/>
              </w:rPr>
              <w:t>пп.7.1.2 Методических указаний</w:t>
            </w:r>
          </w:p>
        </w:tc>
        <w:tc>
          <w:tcPr>
            <w:tcW w:w="166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r>
    </w:tbl>
    <w:p w:rsidR="00783784" w:rsidRPr="00783784" w:rsidRDefault="00783784" w:rsidP="00783784">
      <w:pPr>
        <w:spacing w:after="0" w:line="240" w:lineRule="auto"/>
        <w:ind w:firstLine="720"/>
        <w:jc w:val="both"/>
        <w:rPr>
          <w:rFonts w:ascii="Times New Roman" w:hAnsi="Times New Roman"/>
          <w:sz w:val="24"/>
          <w:lang w:eastAsia="ru-RU"/>
        </w:rPr>
      </w:pPr>
    </w:p>
    <w:p w:rsidR="00783784" w:rsidRPr="00783784" w:rsidRDefault="00783784" w:rsidP="00783784">
      <w:pPr>
        <w:spacing w:before="120" w:after="120" w:line="240" w:lineRule="auto"/>
        <w:jc w:val="right"/>
        <w:rPr>
          <w:rFonts w:ascii="Times New Roman" w:hAnsi="Times New Roman"/>
          <w:b/>
          <w:i/>
          <w:iCs/>
          <w:sz w:val="20"/>
          <w:szCs w:val="20"/>
        </w:rPr>
      </w:pPr>
      <w:r w:rsidRPr="00783784">
        <w:rPr>
          <w:rFonts w:ascii="Times New Roman" w:hAnsi="Times New Roman"/>
          <w:b/>
          <w:i/>
          <w:iCs/>
          <w:sz w:val="20"/>
          <w:szCs w:val="20"/>
        </w:rPr>
        <w:t>Таблица 43 Обоснование применения подходов и методов к оценке объектов капитального строительства. Группа 10. Сооружения</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3399"/>
        <w:gridCol w:w="3399"/>
      </w:tblGrid>
      <w:tr w:rsidR="00783784" w:rsidRPr="00783784" w:rsidTr="00F26E84">
        <w:trPr>
          <w:trHeight w:val="20"/>
          <w:tblHeader/>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
                <w:bCs/>
                <w:color w:val="000000"/>
                <w:sz w:val="20"/>
                <w:szCs w:val="20"/>
                <w:lang w:eastAsia="ru-RU"/>
              </w:rPr>
            </w:pPr>
            <w:r w:rsidRPr="00783784">
              <w:rPr>
                <w:rFonts w:ascii="Times New Roman" w:eastAsia="Times New Roman" w:hAnsi="Times New Roman"/>
                <w:b/>
                <w:bCs/>
                <w:color w:val="000000"/>
                <w:sz w:val="20"/>
                <w:szCs w:val="20"/>
                <w:lang w:eastAsia="ru-RU"/>
              </w:rPr>
              <w:t>Наименование подгруппы</w:t>
            </w:r>
          </w:p>
        </w:tc>
        <w:tc>
          <w:tcPr>
            <w:tcW w:w="1667" w:type="pct"/>
            <w:tcBorders>
              <w:top w:val="single" w:sz="4" w:space="0" w:color="auto"/>
              <w:left w:val="single" w:sz="4" w:space="0" w:color="auto"/>
              <w:bottom w:val="single" w:sz="4" w:space="0" w:color="auto"/>
              <w:right w:val="single" w:sz="4" w:space="0" w:color="auto"/>
            </w:tcBorders>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color w:val="000000"/>
                <w:sz w:val="20"/>
                <w:szCs w:val="20"/>
                <w:lang w:eastAsia="ru-RU"/>
              </w:rPr>
              <w:t>Сооружения</w:t>
            </w:r>
          </w:p>
        </w:tc>
        <w:tc>
          <w:tcPr>
            <w:tcW w:w="1667" w:type="pct"/>
            <w:tcBorders>
              <w:top w:val="single" w:sz="4" w:space="0" w:color="auto"/>
              <w:left w:val="single" w:sz="4" w:space="0" w:color="auto"/>
              <w:bottom w:val="single" w:sz="4" w:space="0" w:color="auto"/>
              <w:right w:val="single" w:sz="4" w:space="0" w:color="auto"/>
            </w:tcBorders>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bCs/>
                <w:color w:val="000000"/>
                <w:sz w:val="20"/>
                <w:szCs w:val="20"/>
                <w:lang w:eastAsia="ru-RU"/>
              </w:rPr>
            </w:pPr>
            <w:r w:rsidRPr="00783784">
              <w:rPr>
                <w:rFonts w:ascii="Times New Roman" w:eastAsia="Times New Roman" w:hAnsi="Times New Roman"/>
                <w:color w:val="000000"/>
                <w:sz w:val="20"/>
                <w:szCs w:val="20"/>
                <w:lang w:eastAsia="ru-RU"/>
              </w:rPr>
              <w:t>Объекты незавершенного строительства</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Наименование метода</w:t>
            </w:r>
          </w:p>
        </w:tc>
        <w:tc>
          <w:tcPr>
            <w:tcW w:w="1667" w:type="pct"/>
            <w:shd w:val="clear" w:color="auto" w:fill="auto"/>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c>
          <w:tcPr>
            <w:tcW w:w="1667" w:type="pct"/>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Массовая оценка. Моделирование в рамках затратного подхода. Метод затрат на создание аналогичных объектов</w:t>
            </w:r>
          </w:p>
        </w:tc>
      </w:tr>
      <w:tr w:rsidR="00783784" w:rsidRPr="00783784" w:rsidTr="00F26E84">
        <w:trPr>
          <w:trHeight w:val="20"/>
        </w:trPr>
        <w:tc>
          <w:tcPr>
            <w:tcW w:w="1666" w:type="pct"/>
            <w:shd w:val="clear" w:color="auto" w:fill="BFBFBF" w:themeFill="background1" w:themeFillShade="BF"/>
            <w:vAlign w:val="center"/>
            <w:hideMark/>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b/>
                <w:bCs/>
                <w:color w:val="000000"/>
                <w:sz w:val="20"/>
                <w:szCs w:val="20"/>
                <w:lang w:eastAsia="ru-RU"/>
              </w:rPr>
              <w:t>Обоснование выбора подходов и методов, использованных для определения кадастровой стоимости</w:t>
            </w:r>
          </w:p>
        </w:tc>
        <w:tc>
          <w:tcPr>
            <w:tcW w:w="1667" w:type="pct"/>
            <w:shd w:val="clear" w:color="auto" w:fill="auto"/>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val="en-US" w:eastAsia="ru-RU"/>
              </w:rPr>
            </w:pPr>
            <w:r w:rsidRPr="00783784">
              <w:rPr>
                <w:rFonts w:ascii="Times New Roman" w:eastAsia="Times New Roman" w:hAnsi="Times New Roman"/>
                <w:color w:val="000000"/>
                <w:sz w:val="20"/>
                <w:szCs w:val="20"/>
                <w:lang w:eastAsia="ru-RU"/>
              </w:rPr>
              <w:t>пп.7.1.2 Методических указаний</w:t>
            </w:r>
          </w:p>
        </w:tc>
        <w:tc>
          <w:tcPr>
            <w:tcW w:w="1667" w:type="pct"/>
            <w:vAlign w:val="center"/>
          </w:tcPr>
          <w:p w:rsidR="00783784" w:rsidRPr="00783784" w:rsidRDefault="00783784" w:rsidP="00783784">
            <w:pPr>
              <w:suppressAutoHyphens w:val="0"/>
              <w:autoSpaceDN/>
              <w:spacing w:after="0" w:line="240" w:lineRule="auto"/>
              <w:jc w:val="center"/>
              <w:textAlignment w:val="auto"/>
              <w:rPr>
                <w:rFonts w:ascii="Times New Roman" w:eastAsia="Times New Roman" w:hAnsi="Times New Roman"/>
                <w:color w:val="000000"/>
                <w:sz w:val="20"/>
                <w:szCs w:val="20"/>
                <w:lang w:eastAsia="ru-RU"/>
              </w:rPr>
            </w:pPr>
            <w:r w:rsidRPr="00783784">
              <w:rPr>
                <w:rFonts w:ascii="Times New Roman" w:eastAsia="Times New Roman" w:hAnsi="Times New Roman"/>
                <w:color w:val="000000"/>
                <w:sz w:val="20"/>
                <w:szCs w:val="20"/>
                <w:lang w:eastAsia="ru-RU"/>
              </w:rPr>
              <w:t>пп.7.1.2 Методических указаний</w:t>
            </w:r>
          </w:p>
        </w:tc>
      </w:tr>
    </w:tbl>
    <w:p w:rsidR="00783784" w:rsidRPr="00783784" w:rsidRDefault="00783784" w:rsidP="00783784"/>
    <w:p w:rsidR="00783784" w:rsidRPr="00783784" w:rsidRDefault="00783784" w:rsidP="00783784">
      <w:pPr>
        <w:spacing w:after="0" w:line="240" w:lineRule="auto"/>
        <w:ind w:firstLine="720"/>
        <w:jc w:val="both"/>
        <w:rPr>
          <w:rFonts w:ascii="Times New Roman" w:hAnsi="Times New Roman"/>
          <w:sz w:val="24"/>
          <w:lang w:eastAsia="ru-RU"/>
        </w:rPr>
      </w:pPr>
      <w:r w:rsidRPr="00783784">
        <w:rPr>
          <w:rFonts w:ascii="Times New Roman" w:hAnsi="Times New Roman"/>
          <w:sz w:val="24"/>
          <w:lang w:eastAsia="ru-RU"/>
        </w:rPr>
        <w:t xml:space="preserve">Сведения о способе определения кадастровой стоимости в разрезе групп (подгрупп) расчета с указанием моделей, подходов, методов представлены в таблице ниже. </w:t>
      </w:r>
    </w:p>
    <w:p w:rsidR="00783784" w:rsidRPr="00783784" w:rsidRDefault="00783784" w:rsidP="00783784">
      <w:pPr>
        <w:spacing w:after="0" w:line="240" w:lineRule="auto"/>
        <w:ind w:firstLine="720"/>
        <w:jc w:val="both"/>
        <w:rPr>
          <w:rFonts w:ascii="Times New Roman" w:hAnsi="Times New Roman"/>
          <w:sz w:val="24"/>
          <w:lang w:eastAsia="ru-RU"/>
        </w:rPr>
      </w:pPr>
    </w:p>
    <w:p w:rsidR="00783784" w:rsidRPr="00783784" w:rsidRDefault="00783784" w:rsidP="00783784">
      <w:pPr>
        <w:spacing w:after="0" w:line="240" w:lineRule="auto"/>
        <w:ind w:firstLine="720"/>
        <w:jc w:val="right"/>
        <w:rPr>
          <w:rFonts w:ascii="Times New Roman" w:hAnsi="Times New Roman"/>
          <w:sz w:val="24"/>
          <w:lang w:eastAsia="ru-RU"/>
        </w:rPr>
      </w:pPr>
      <w:r w:rsidRPr="00783784">
        <w:rPr>
          <w:rFonts w:ascii="Times New Roman" w:hAnsi="Times New Roman"/>
          <w:b/>
          <w:sz w:val="20"/>
          <w:szCs w:val="20"/>
        </w:rPr>
        <w:t>Таблица 44. Применение подходов и методов, моделей определения кадастровой стоимости</w:t>
      </w:r>
    </w:p>
    <w:p w:rsidR="00783784" w:rsidRPr="00783784" w:rsidRDefault="00783784" w:rsidP="00783784">
      <w:pPr>
        <w:spacing w:after="0" w:line="240" w:lineRule="auto"/>
        <w:jc w:val="both"/>
        <w:rPr>
          <w:rFonts w:ascii="Times New Roman" w:hAnsi="Times New Roman"/>
          <w:sz w:val="24"/>
          <w:lang w:eastAsia="ru-RU"/>
        </w:rPr>
      </w:pPr>
    </w:p>
    <w:tbl>
      <w:tblPr>
        <w:tblStyle w:val="a4"/>
        <w:tblW w:w="9981" w:type="dxa"/>
        <w:tblLook w:val="04A0" w:firstRow="1" w:lastRow="0" w:firstColumn="1" w:lastColumn="0" w:noHBand="0" w:noVBand="1"/>
      </w:tblPr>
      <w:tblGrid>
        <w:gridCol w:w="447"/>
        <w:gridCol w:w="885"/>
        <w:gridCol w:w="2667"/>
        <w:gridCol w:w="1361"/>
        <w:gridCol w:w="1397"/>
        <w:gridCol w:w="1462"/>
        <w:gridCol w:w="1762"/>
      </w:tblGrid>
      <w:tr w:rsidR="00783784" w:rsidRPr="00783784" w:rsidTr="00F26E84">
        <w:tc>
          <w:tcPr>
            <w:tcW w:w="44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b/>
                <w:sz w:val="20"/>
                <w:szCs w:val="20"/>
              </w:rPr>
            </w:pPr>
            <w:r w:rsidRPr="00783784">
              <w:rPr>
                <w:rFonts w:ascii="Times New Roman" w:eastAsiaTheme="minorHAnsi" w:hAnsi="Times New Roman"/>
                <w:b/>
                <w:sz w:val="20"/>
                <w:szCs w:val="20"/>
              </w:rPr>
              <w:t>№ пп</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b/>
                <w:sz w:val="20"/>
                <w:szCs w:val="20"/>
              </w:rPr>
            </w:pPr>
            <w:r w:rsidRPr="00783784">
              <w:rPr>
                <w:rFonts w:ascii="Times New Roman" w:eastAsiaTheme="minorHAnsi" w:hAnsi="Times New Roman"/>
                <w:b/>
                <w:sz w:val="20"/>
                <w:szCs w:val="20"/>
              </w:rPr>
              <w:t>Группа</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b/>
                <w:sz w:val="20"/>
                <w:szCs w:val="20"/>
              </w:rPr>
            </w:pPr>
            <w:r w:rsidRPr="00783784">
              <w:rPr>
                <w:rFonts w:ascii="Times New Roman" w:eastAsiaTheme="minorHAnsi" w:hAnsi="Times New Roman"/>
                <w:b/>
                <w:sz w:val="20"/>
                <w:szCs w:val="20"/>
              </w:rPr>
              <w:t>Оценочная группа (группа расчета)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b/>
                <w:sz w:val="20"/>
                <w:szCs w:val="20"/>
              </w:rPr>
            </w:pPr>
            <w:r w:rsidRPr="00783784">
              <w:rPr>
                <w:rFonts w:ascii="Times New Roman" w:eastAsiaTheme="minorHAnsi" w:hAnsi="Times New Roman"/>
                <w:b/>
                <w:sz w:val="20"/>
                <w:szCs w:val="20"/>
              </w:rPr>
              <w:t>Способ определения КС</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b/>
                <w:sz w:val="20"/>
                <w:szCs w:val="20"/>
              </w:rPr>
            </w:pPr>
            <w:r w:rsidRPr="00783784">
              <w:rPr>
                <w:rFonts w:ascii="Times New Roman" w:eastAsiaTheme="minorHAnsi" w:hAnsi="Times New Roman"/>
                <w:b/>
                <w:sz w:val="20"/>
                <w:szCs w:val="20"/>
              </w:rPr>
              <w:t>Подход</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b/>
                <w:sz w:val="20"/>
                <w:szCs w:val="20"/>
              </w:rPr>
            </w:pPr>
            <w:r w:rsidRPr="00783784">
              <w:rPr>
                <w:rFonts w:ascii="Times New Roman" w:eastAsiaTheme="minorHAnsi" w:hAnsi="Times New Roman"/>
                <w:b/>
                <w:sz w:val="20"/>
                <w:szCs w:val="20"/>
              </w:rPr>
              <w:t>Метод</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b/>
                <w:sz w:val="20"/>
                <w:szCs w:val="20"/>
              </w:rPr>
            </w:pPr>
            <w:r w:rsidRPr="00783784">
              <w:rPr>
                <w:rFonts w:ascii="Times New Roman" w:eastAsiaTheme="minorHAnsi" w:hAnsi="Times New Roman"/>
                <w:b/>
                <w:sz w:val="20"/>
                <w:szCs w:val="20"/>
              </w:rPr>
              <w:t>Модель оценки</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cstheme="minorBidi"/>
                <w:sz w:val="20"/>
                <w:szCs w:val="20"/>
              </w:rPr>
            </w:pPr>
            <w:r w:rsidRPr="00783784">
              <w:rPr>
                <w:rFonts w:ascii="Times New Roman" w:eastAsiaTheme="minorHAnsi" w:hAnsi="Times New Roman"/>
                <w:color w:val="000000"/>
                <w:sz w:val="20"/>
                <w:szCs w:val="20"/>
              </w:rPr>
              <w:t>1</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cstheme="minorBidi"/>
                <w:sz w:val="20"/>
                <w:szCs w:val="20"/>
              </w:rPr>
            </w:pPr>
            <w:r w:rsidRPr="00783784">
              <w:rPr>
                <w:rFonts w:ascii="Times New Roman" w:eastAsiaTheme="minorHAnsi" w:hAnsi="Times New Roman" w:cstheme="minorBidi"/>
                <w:sz w:val="20"/>
                <w:szCs w:val="20"/>
              </w:rPr>
              <w:t>1</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cstheme="minorBidi"/>
                <w:sz w:val="20"/>
                <w:szCs w:val="20"/>
              </w:rPr>
            </w:pPr>
            <w:r w:rsidRPr="00783784">
              <w:rPr>
                <w:rFonts w:ascii="Times New Roman" w:eastAsiaTheme="minorHAnsi" w:hAnsi="Times New Roman" w:cstheme="minorBidi"/>
                <w:sz w:val="20"/>
                <w:szCs w:val="20"/>
              </w:rPr>
              <w:t>1. Многоквартирные дома</w:t>
            </w:r>
          </w:p>
        </w:tc>
        <w:tc>
          <w:tcPr>
            <w:tcW w:w="5982" w:type="dxa"/>
            <w:gridSpan w:val="4"/>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cstheme="minorBidi"/>
                <w:sz w:val="20"/>
                <w:szCs w:val="20"/>
              </w:rPr>
            </w:pPr>
            <w:r w:rsidRPr="00783784">
              <w:rPr>
                <w:rFonts w:ascii="Times New Roman" w:eastAsiaTheme="minorHAnsi" w:hAnsi="Times New Roman" w:cstheme="minorBidi"/>
                <w:sz w:val="20"/>
                <w:szCs w:val="20"/>
              </w:rPr>
              <w:t>Объекты отсутствуют</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2</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2</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2.1. Объект незавершенного строительства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3</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2</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2.2. Сооружение</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4</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3</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3.1. Объект незавершенного строительства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5</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3</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3.2. Сооружение</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color w:val="000000"/>
                <w:sz w:val="20"/>
                <w:szCs w:val="20"/>
              </w:rPr>
              <w:t>6</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3.3</w:t>
            </w:r>
            <w:r w:rsidRPr="00783784">
              <w:rPr>
                <w:rFonts w:ascii="Times New Roman" w:eastAsia="Times New Roman" w:hAnsi="Times New Roman"/>
                <w:bCs/>
                <w:color w:val="000000"/>
                <w:sz w:val="20"/>
                <w:szCs w:val="20"/>
                <w:lang w:eastAsia="ru-RU"/>
              </w:rPr>
              <w:t xml:space="preserve"> Машино-место</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7</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4</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4.1. Объект незавершенного строительства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8</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4</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4.2. Сооружение</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9</w:t>
            </w:r>
          </w:p>
        </w:tc>
        <w:tc>
          <w:tcPr>
            <w:tcW w:w="885"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5</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5.1. Объект незавершенного строительства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 xml:space="preserve">Метод затрат на создание </w:t>
            </w:r>
            <w:r w:rsidRPr="00783784">
              <w:rPr>
                <w:rFonts w:ascii="Times New Roman" w:eastAsiaTheme="minorHAnsi" w:hAnsi="Times New Roman"/>
                <w:sz w:val="20"/>
                <w:szCs w:val="20"/>
              </w:rPr>
              <w:lastRenderedPageBreak/>
              <w:t>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lastRenderedPageBreak/>
              <w:t xml:space="preserve">Моделирование на основе затрат </w:t>
            </w:r>
            <w:r w:rsidRPr="00783784">
              <w:rPr>
                <w:rFonts w:ascii="Times New Roman" w:eastAsiaTheme="minorHAnsi" w:hAnsi="Times New Roman"/>
                <w:sz w:val="20"/>
                <w:szCs w:val="20"/>
              </w:rPr>
              <w:lastRenderedPageBreak/>
              <w:t>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lastRenderedPageBreak/>
              <w:t>10</w:t>
            </w:r>
          </w:p>
        </w:tc>
        <w:tc>
          <w:tcPr>
            <w:tcW w:w="885"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5</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5.2. Сооружение</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11</w:t>
            </w:r>
          </w:p>
        </w:tc>
        <w:tc>
          <w:tcPr>
            <w:tcW w:w="885"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6</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6.1. Объект незавершенного строительства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12</w:t>
            </w:r>
          </w:p>
        </w:tc>
        <w:tc>
          <w:tcPr>
            <w:tcW w:w="885"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6</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6.2. Сооружение</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13</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7</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7.1. Объект незавершенного строительства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14</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7</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7.2. Сооружение</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15</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8</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8.1. Объект незавершенного строительства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16</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8</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8.2. Сооружение</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17</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9</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9.1. Объект незавершенного строительства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18</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9</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9.2. Сооружение</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color w:val="000000"/>
                <w:sz w:val="20"/>
                <w:szCs w:val="20"/>
              </w:rPr>
              <w:t>19</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10</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10.1. Объект незавершенного строительства</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lang w:eastAsia="ru-RU"/>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r w:rsidR="00783784" w:rsidRPr="00783784" w:rsidTr="00F26E84">
        <w:tc>
          <w:tcPr>
            <w:tcW w:w="44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color w:val="000000"/>
                <w:sz w:val="20"/>
                <w:szCs w:val="20"/>
              </w:rPr>
              <w:t>20</w:t>
            </w:r>
          </w:p>
        </w:tc>
        <w:tc>
          <w:tcPr>
            <w:tcW w:w="885"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10</w:t>
            </w:r>
          </w:p>
        </w:tc>
        <w:tc>
          <w:tcPr>
            <w:tcW w:w="2667" w:type="dxa"/>
            <w:shd w:val="clear" w:color="000000" w:fill="FFFFFF"/>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10.2. Сооружение</w:t>
            </w:r>
          </w:p>
        </w:tc>
        <w:tc>
          <w:tcPr>
            <w:tcW w:w="1361"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Массово</w:t>
            </w:r>
          </w:p>
        </w:tc>
        <w:tc>
          <w:tcPr>
            <w:tcW w:w="1397"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Затратный</w:t>
            </w:r>
          </w:p>
        </w:tc>
        <w:tc>
          <w:tcPr>
            <w:tcW w:w="14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Метод затрат на создание аналогичных объектов</w:t>
            </w:r>
          </w:p>
        </w:tc>
        <w:tc>
          <w:tcPr>
            <w:tcW w:w="1762" w:type="dxa"/>
            <w:shd w:val="clear" w:color="auto" w:fill="auto"/>
            <w:vAlign w:val="center"/>
          </w:tcPr>
          <w:p w:rsidR="00783784" w:rsidRPr="00783784" w:rsidRDefault="00783784" w:rsidP="00783784">
            <w:pPr>
              <w:autoSpaceDN/>
              <w:spacing w:line="240" w:lineRule="auto"/>
              <w:jc w:val="center"/>
              <w:textAlignment w:val="auto"/>
              <w:rPr>
                <w:rFonts w:ascii="Times New Roman" w:eastAsiaTheme="minorHAnsi" w:hAnsi="Times New Roman"/>
                <w:sz w:val="20"/>
                <w:szCs w:val="20"/>
              </w:rPr>
            </w:pPr>
            <w:r w:rsidRPr="00783784">
              <w:rPr>
                <w:rFonts w:ascii="Times New Roman" w:eastAsiaTheme="minorHAnsi" w:hAnsi="Times New Roman"/>
                <w:sz w:val="20"/>
                <w:szCs w:val="20"/>
              </w:rPr>
              <w:t>Моделирование на основе затрат на создание аналогичных объектов</w:t>
            </w:r>
          </w:p>
        </w:tc>
      </w:tr>
    </w:tbl>
    <w:p w:rsidR="00783784" w:rsidRPr="000E26BC" w:rsidRDefault="00783784" w:rsidP="00783784">
      <w:pPr>
        <w:suppressAutoHyphens w:val="0"/>
        <w:rPr>
          <w:rFonts w:ascii="Times New Roman" w:hAnsi="Times New Roman"/>
          <w:b/>
          <w:sz w:val="20"/>
          <w:szCs w:val="20"/>
        </w:rPr>
        <w:sectPr w:rsidR="00783784" w:rsidRPr="000E26BC" w:rsidSect="00783784">
          <w:headerReference w:type="even" r:id="rId5"/>
          <w:headerReference w:type="default" r:id="rId6"/>
          <w:pgSz w:w="11906" w:h="16838"/>
          <w:pgMar w:top="851" w:right="851" w:bottom="1134" w:left="851" w:header="708" w:footer="708" w:gutter="0"/>
          <w:cols w:space="720"/>
          <w:docGrid w:linePitch="299"/>
        </w:sectPr>
      </w:pPr>
      <w:bookmarkStart w:id="3" w:name="_GoBack"/>
      <w:bookmarkEnd w:id="3"/>
    </w:p>
    <w:p w:rsidR="00783784" w:rsidRPr="00A26EA2" w:rsidRDefault="00783784" w:rsidP="00783784">
      <w:pPr>
        <w:pStyle w:val="a5"/>
        <w:spacing w:after="0"/>
        <w:jc w:val="right"/>
        <w:rPr>
          <w:rFonts w:ascii="Times New Roman" w:hAnsi="Times New Roman"/>
          <w:b/>
          <w:color w:val="auto"/>
          <w:sz w:val="20"/>
          <w:szCs w:val="20"/>
        </w:rPr>
      </w:pPr>
    </w:p>
    <w:p w:rsidR="00060C37" w:rsidRDefault="00060C37"/>
    <w:sectPr w:rsidR="00060C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BD1" w:rsidRDefault="00783784">
    <w:pPr>
      <w:pStyle w:val="a8"/>
      <w:spacing w:line="14" w:lineRule="auto"/>
      <w:rPr>
        <w:sz w:val="20"/>
      </w:rPr>
    </w:pPr>
    <w:r>
      <w:rPr>
        <w:noProof/>
      </w:rPr>
      <mc:AlternateContent>
        <mc:Choice Requires="wps">
          <w:drawing>
            <wp:anchor distT="0" distB="0" distL="114300" distR="114300" simplePos="0" relativeHeight="251659264" behindDoc="1" locked="0" layoutInCell="1" allowOverlap="1" wp14:anchorId="37375FEE" wp14:editId="62680546">
              <wp:simplePos x="0" y="0"/>
              <wp:positionH relativeFrom="page">
                <wp:posOffset>883285</wp:posOffset>
              </wp:positionH>
              <wp:positionV relativeFrom="page">
                <wp:posOffset>418465</wp:posOffset>
              </wp:positionV>
              <wp:extent cx="6165850" cy="182880"/>
              <wp:effectExtent l="0" t="0" r="0" b="0"/>
              <wp:wrapNone/>
              <wp:docPr id="279" name="Надпись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BD1" w:rsidRDefault="00783784">
                          <w:pPr>
                            <w:tabs>
                              <w:tab w:val="left" w:pos="7274"/>
                            </w:tabs>
                            <w:spacing w:before="13"/>
                            <w:ind w:left="20"/>
                            <w:rPr>
                              <w:rFonts w:ascii="Arial" w:hAnsi="Arial"/>
                              <w:b/>
                            </w:rPr>
                          </w:pPr>
                          <w:r>
                            <w:rPr>
                              <w:shd w:val="clear" w:color="auto" w:fill="BEBEBE"/>
                            </w:rPr>
                            <w:t xml:space="preserve"> </w:t>
                          </w:r>
                          <w:r>
                            <w:rPr>
                              <w:shd w:val="clear" w:color="auto" w:fill="BEBEBE"/>
                            </w:rPr>
                            <w:tab/>
                          </w:r>
                          <w:r>
                            <w:rPr>
                              <w:rFonts w:ascii="Arial" w:hAnsi="Arial"/>
                              <w:b/>
                              <w:shd w:val="clear" w:color="auto" w:fill="BEBEBE"/>
                            </w:rPr>
                            <w:t>РЕСПУБЛИКА</w:t>
                          </w:r>
                          <w:r>
                            <w:rPr>
                              <w:rFonts w:ascii="Arial" w:hAnsi="Arial"/>
                              <w:b/>
                              <w:spacing w:val="-8"/>
                              <w:shd w:val="clear" w:color="auto" w:fill="BEBEBE"/>
                            </w:rPr>
                            <w:t xml:space="preserve"> </w:t>
                          </w:r>
                          <w:r>
                            <w:rPr>
                              <w:rFonts w:ascii="Arial" w:hAnsi="Arial"/>
                              <w:b/>
                              <w:shd w:val="clear" w:color="auto" w:fill="BEBEBE"/>
                            </w:rPr>
                            <w:t>КРЫМ</w:t>
                          </w:r>
                          <w:r>
                            <w:rPr>
                              <w:rFonts w:ascii="Arial" w:hAnsi="Arial"/>
                              <w:b/>
                              <w:spacing w:val="-19"/>
                              <w:shd w:val="clear" w:color="auto" w:fill="BEBEBE"/>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375FEE" id="_x0000_t202" coordsize="21600,21600" o:spt="202" path="m,l,21600r21600,l21600,xe">
              <v:stroke joinstyle="miter"/>
              <v:path gradientshapeok="t" o:connecttype="rect"/>
            </v:shapetype>
            <v:shape id="Надпись 279" o:spid="_x0000_s1026" type="#_x0000_t202" style="position:absolute;left:0;text-align:left;margin-left:69.55pt;margin-top:32.95pt;width:485.5pt;height:14.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" filled="f" stroked="f">
              <v:textbox inset="0,0,0,0">
                <w:txbxContent>
                  <w:p w:rsidR="00BE5BD1" w:rsidRDefault="00783784">
                    <w:pPr>
                      <w:tabs>
                        <w:tab w:val="left" w:pos="7274"/>
                      </w:tabs>
                      <w:spacing w:before="13"/>
                      <w:ind w:left="20"/>
                      <w:rPr>
                        <w:rFonts w:ascii="Arial" w:hAnsi="Arial"/>
                        <w:b/>
                      </w:rPr>
                    </w:pPr>
                    <w:r>
                      <w:rPr>
                        <w:shd w:val="clear" w:color="auto" w:fill="BEBEBE"/>
                      </w:rPr>
                      <w:t xml:space="preserve"> </w:t>
                    </w:r>
                    <w:r>
                      <w:rPr>
                        <w:shd w:val="clear" w:color="auto" w:fill="BEBEBE"/>
                      </w:rPr>
                      <w:tab/>
                    </w:r>
                    <w:r>
                      <w:rPr>
                        <w:rFonts w:ascii="Arial" w:hAnsi="Arial"/>
                        <w:b/>
                        <w:shd w:val="clear" w:color="auto" w:fill="BEBEBE"/>
                      </w:rPr>
                      <w:t>РЕСПУБЛИКА</w:t>
                    </w:r>
                    <w:r>
                      <w:rPr>
                        <w:rFonts w:ascii="Arial" w:hAnsi="Arial"/>
                        <w:b/>
                        <w:spacing w:val="-8"/>
                        <w:shd w:val="clear" w:color="auto" w:fill="BEBEBE"/>
                      </w:rPr>
                      <w:t xml:space="preserve"> </w:t>
                    </w:r>
                    <w:r>
                      <w:rPr>
                        <w:rFonts w:ascii="Arial" w:hAnsi="Arial"/>
                        <w:b/>
                        <w:shd w:val="clear" w:color="auto" w:fill="BEBEBE"/>
                      </w:rPr>
                      <w:t>КРЫМ</w:t>
                    </w:r>
                    <w:r>
                      <w:rPr>
                        <w:rFonts w:ascii="Arial" w:hAnsi="Arial"/>
                        <w:b/>
                        <w:spacing w:val="-19"/>
                        <w:shd w:val="clear" w:color="auto" w:fill="BEBEBE"/>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B9F4A23" wp14:editId="38EBF649">
              <wp:simplePos x="0" y="0"/>
              <wp:positionH relativeFrom="page">
                <wp:posOffset>6023610</wp:posOffset>
              </wp:positionH>
              <wp:positionV relativeFrom="page">
                <wp:posOffset>752475</wp:posOffset>
              </wp:positionV>
              <wp:extent cx="922020" cy="194310"/>
              <wp:effectExtent l="3810" t="0" r="0" b="0"/>
              <wp:wrapNone/>
              <wp:docPr id="280" name="Надпись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BD1" w:rsidRDefault="00783784">
                          <w:pPr>
                            <w:spacing w:before="10"/>
                            <w:ind w:left="20"/>
                            <w:rPr>
                              <w:sz w:val="24"/>
                            </w:rPr>
                          </w:pPr>
                          <w:r>
                            <w:rPr>
                              <w:sz w:val="24"/>
                            </w:rPr>
                            <w:t>Продолжение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F4A23" id="Надпись 280" o:spid="_x0000_s1027" type="#_x0000_t202" style="position:absolute;left:0;text-align:left;margin-left:474.3pt;margin-top:59.25pt;width:72.6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" filled="f" stroked="f">
              <v:textbox inset="0,0,0,0">
                <w:txbxContent>
                  <w:p w:rsidR="00BE5BD1" w:rsidRDefault="00783784">
                    <w:pPr>
                      <w:spacing w:before="10"/>
                      <w:ind w:left="20"/>
                      <w:rPr>
                        <w:sz w:val="24"/>
                      </w:rPr>
                    </w:pPr>
                    <w:r>
                      <w:rPr>
                        <w:sz w:val="24"/>
                      </w:rPr>
                      <w:t>Продолжение</w:t>
                    </w:r>
                  </w:p>
                </w:txbxContent>
              </v:textbox>
              <w10:wrap anchorx="page" anchory="page"/>
            </v:shape>
          </w:pict>
        </mc:Fallback>
      </mc:AlternateContent>
    </w:r>
  </w:p>
  <w:p w:rsidR="00BE5BD1" w:rsidRDefault="00783784"/>
  <w:p w:rsidR="00BE5BD1" w:rsidRDefault="00783784"/>
  <w:p w:rsidR="00BE5BD1" w:rsidRDefault="00783784"/>
  <w:p w:rsidR="00BE5BD1" w:rsidRDefault="00783784"/>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BD1" w:rsidRPr="0041704E" w:rsidRDefault="00783784" w:rsidP="0041704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A96EF2"/>
    <w:multiLevelType w:val="multilevel"/>
    <w:tmpl w:val="016AA0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066" w:hanging="648"/>
      </w:pPr>
      <w:rPr>
        <w:rFonts w:ascii="Times New Roman" w:hAnsi="Times New Roman" w:cs="Times New Roman"/>
        <w:b/>
        <w:color w:val="00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97417AA"/>
    <w:multiLevelType w:val="hybridMultilevel"/>
    <w:tmpl w:val="3318A378"/>
    <w:lvl w:ilvl="0" w:tplc="334A1200">
      <w:start w:val="4"/>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784"/>
    <w:rsid w:val="00060C37"/>
    <w:rsid w:val="00783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EB7C8"/>
  <w15:chartTrackingRefBased/>
  <w15:docId w15:val="{60456B25-AD48-427E-8FCA-CA9BC2D63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83784"/>
    <w:pPr>
      <w:suppressAutoHyphens/>
      <w:autoSpaceDN w:val="0"/>
      <w:spacing w:line="244" w:lineRule="auto"/>
      <w:textAlignment w:val="baseline"/>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List Paragraph,cko-Список,Уровент 2.2,Абзац списка4,Нумерованный,Абзац списка ЭкспертЪ"/>
    <w:basedOn w:val="a"/>
    <w:uiPriority w:val="34"/>
    <w:qFormat/>
    <w:rsid w:val="00783784"/>
  </w:style>
  <w:style w:type="table" w:styleId="a4">
    <w:name w:val="Table Grid"/>
    <w:aliases w:val="Основная таблица,Таблица для формул,Сетка таб 10,ЭЭГ - Сетка таблицы,А Сетка таблицы,Формат таблиц для диплома,Леша,моя таблица,Таблица НЭО,Table,Формат таблиц для диплома1,Таблица НЭО2,Формат таблиц для диплома2,Таблица НЭО11"/>
    <w:basedOn w:val="a1"/>
    <w:rsid w:val="00783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aliases w:val="Название объекта Знак Знак Знак Знак Знак Знак Знак Знак Знак,Название объекта Знак Знак Знак Знак Знак Знак Знак Знак Знак Знак Знак Знак Знак Знак Знак Знак Знак Знак Знак Знак,Название таблицы Знак Знак Знак,Caption Char,диаграммы,Ç"/>
    <w:basedOn w:val="a"/>
    <w:next w:val="a"/>
    <w:qFormat/>
    <w:rsid w:val="00783784"/>
    <w:pPr>
      <w:spacing w:after="200" w:line="240" w:lineRule="auto"/>
    </w:pPr>
    <w:rPr>
      <w:i/>
      <w:iCs/>
      <w:color w:val="44546A"/>
      <w:sz w:val="18"/>
      <w:szCs w:val="18"/>
    </w:rPr>
  </w:style>
  <w:style w:type="paragraph" w:styleId="a6">
    <w:name w:val="header"/>
    <w:aliases w:val="ВерхКолонтитул,ВерхКолонтитул Знак Знак,Верхний колонтитул Знак Знак,Header Char,Верхний колонтитул Знак1,Верхний колонтитул Знак Знак Знак Знак Знак Знак,Верхний колонтитул Знак2,Верхний колонтитул Знак Знак1,Aa?oEieiioeooe, Знак12"/>
    <w:basedOn w:val="a"/>
    <w:link w:val="a7"/>
    <w:uiPriority w:val="99"/>
    <w:rsid w:val="0078378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83784"/>
    <w:rPr>
      <w:rFonts w:ascii="Calibri" w:eastAsia="Calibri" w:hAnsi="Calibri" w:cs="Times New Roman"/>
    </w:rPr>
  </w:style>
  <w:style w:type="paragraph" w:styleId="a8">
    <w:name w:val="Body Text"/>
    <w:aliases w:val=" Знак Знак1 Знак Знак Знак,Основной текст Знак1,Основной текст Знак Знак, Знак Знак Знак, Знак Знак1, Знак Знак1 Знак, Знак Знак1 Знак Знак,Основной текст Знак Знак Знак Знак,текст таблицы Знак Знак Знак,Знак Знак Знак,Знак Знак1 Знак,bt"/>
    <w:basedOn w:val="a"/>
    <w:link w:val="2"/>
    <w:uiPriority w:val="99"/>
    <w:qFormat/>
    <w:rsid w:val="00783784"/>
    <w:pPr>
      <w:suppressAutoHyphens w:val="0"/>
      <w:autoSpaceDN/>
      <w:spacing w:after="0" w:line="240" w:lineRule="auto"/>
      <w:jc w:val="both"/>
      <w:textAlignment w:val="auto"/>
    </w:pPr>
    <w:rPr>
      <w:rFonts w:ascii="Times New Roman" w:eastAsia="Times New Roman" w:hAnsi="Times New Roman"/>
      <w:sz w:val="24"/>
      <w:szCs w:val="20"/>
      <w:lang w:eastAsia="ru-RU"/>
    </w:rPr>
  </w:style>
  <w:style w:type="character" w:customStyle="1" w:styleId="a9">
    <w:name w:val="Основной текст Знак"/>
    <w:basedOn w:val="a0"/>
    <w:uiPriority w:val="99"/>
    <w:semiHidden/>
    <w:rsid w:val="00783784"/>
    <w:rPr>
      <w:rFonts w:ascii="Calibri" w:eastAsia="Calibri" w:hAnsi="Calibri" w:cs="Times New Roman"/>
    </w:rPr>
  </w:style>
  <w:style w:type="character" w:customStyle="1" w:styleId="2">
    <w:name w:val="Основной текст Знак2"/>
    <w:aliases w:val=" Знак Знак1 Знак Знак Знак Знак,Основной текст Знак1 Знак1,Основной текст Знак Знак Знак1, Знак Знак Знак Знак, Знак Знак1 Знак1, Знак Знак1 Знак Знак1, Знак Знак1 Знак Знак Знак1,Основной текст Знак Знак Знак Знак Знак1,bt Знак1"/>
    <w:link w:val="a8"/>
    <w:uiPriority w:val="99"/>
    <w:rsid w:val="00783784"/>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5421</Words>
  <Characters>30902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UserOC</dc:creator>
  <cp:keywords/>
  <dc:description/>
  <cp:lastModifiedBy>UserOC</cp:lastModifiedBy>
  <cp:revision>1</cp:revision>
  <dcterms:created xsi:type="dcterms:W3CDTF">2020-06-16T12:13:00Z</dcterms:created>
  <dcterms:modified xsi:type="dcterms:W3CDTF">2020-06-16T12:18:00Z</dcterms:modified>
</cp:coreProperties>
</file>