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916" w:rsidRPr="00EE2916" w:rsidRDefault="00EE2916" w:rsidP="00EE2916">
      <w:pPr>
        <w:spacing w:before="12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E2916">
        <w:rPr>
          <w:rFonts w:ascii="Times New Roman" w:hAnsi="Times New Roman"/>
          <w:i/>
          <w:sz w:val="24"/>
          <w:szCs w:val="24"/>
        </w:rPr>
        <w:t>Определение прибыли предпринимателя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Прибыль предпринимателя является фактором вознаграждения инвестора за риск строительства объекта недвижимости и отражает величину, которую предприниматель рассчитывает получить в качестве вознаграждения за свою реализованную активную предпринимательскую деятельность.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Данная величина отражает степень риска и уровень компетентности предпринимателя, связанные с реализацией строительного проекта, а также тот факт, что возможность использования объекта откладывается по сравнению с приобретением готового.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Прибыль предпринимателя может быть определена методом компенсации вмененных издержек как разность будущей стоимости произведенных инвестиций и суммы инвестиций, определенной без учета стоимости денег во времени.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Формула для расчета прибыли предпринимателя может быть выражена следующим образом:</w:t>
      </w:r>
    </w:p>
    <w:p w:rsidR="00EE2916" w:rsidRPr="00EE2916" w:rsidRDefault="00EE2916" w:rsidP="00EE2916">
      <w:pPr>
        <w:jc w:val="center"/>
        <w:rPr>
          <w:rFonts w:eastAsiaTheme="minorHAnsi"/>
          <w:color w:val="000000" w:themeColor="text1"/>
          <w:szCs w:val="24"/>
        </w:rPr>
      </w:pPr>
      <w:r w:rsidRPr="00EE2916">
        <w:rPr>
          <w:rFonts w:eastAsiaTheme="minorHAnsi"/>
          <w:b/>
          <w:noProof/>
          <w:color w:val="000000" w:themeColor="text1"/>
          <w:szCs w:val="24"/>
          <w:lang w:eastAsia="ru-RU"/>
        </w:rPr>
        <w:drawing>
          <wp:inline distT="0" distB="0" distL="0" distR="0" wp14:anchorId="77FF8F90" wp14:editId="22337D2D">
            <wp:extent cx="2033270" cy="491490"/>
            <wp:effectExtent l="0" t="0" r="0" b="0"/>
            <wp:docPr id="5" name="Picture 1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2916">
        <w:rPr>
          <w:rFonts w:eastAsiaTheme="minorHAnsi"/>
          <w:color w:val="000000" w:themeColor="text1"/>
          <w:szCs w:val="24"/>
        </w:rPr>
        <w:t>,</w:t>
      </w:r>
      <w:r w:rsidRPr="00EE2916">
        <w:rPr>
          <w:rFonts w:eastAsiaTheme="minorHAnsi"/>
          <w:color w:val="000000" w:themeColor="text1"/>
          <w:szCs w:val="24"/>
        </w:rPr>
        <w:tab/>
        <w:t xml:space="preserve"> 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где: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ПП – прибыль предпринимателя, руб.;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∆i – доля инвестиций в i-тый период в объект недвижимости (%);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i – порядковый номер периода;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n – количество периодов инвестирования (продолжительность строительства);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Y – норма доходности (ставка наращения) для инвестиций в строительство (% в рассматриваемый период (месяц, квартал, год)).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Представленная формула для целей массовой оценки может быть упрощена до вида:</w:t>
      </w:r>
    </w:p>
    <w:p w:rsidR="00EE2916" w:rsidRPr="00EE2916" w:rsidRDefault="00EE2916" w:rsidP="00EE2916">
      <w:pPr>
        <w:jc w:val="center"/>
        <w:rPr>
          <w:b/>
          <w:szCs w:val="24"/>
        </w:rPr>
      </w:pPr>
      <m:oMath>
        <m:r>
          <m:rPr>
            <m:sty m:val="b"/>
          </m:rPr>
          <w:rPr>
            <w:rFonts w:ascii="Cambria Math" w:hAnsi="Cambria Math"/>
            <w:szCs w:val="24"/>
          </w:rPr>
          <m:t>ПП=I*</m:t>
        </m:r>
        <m:sSup>
          <m:sSupPr>
            <m:ctrlPr>
              <w:rPr>
                <w:rFonts w:ascii="Cambria Math" w:hAnsi="Cambria Math"/>
                <w:b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Cs w:val="24"/>
              </w:rPr>
              <m:t>(</m:t>
            </m:r>
            <m:d>
              <m:dPr>
                <m:ctrlPr>
                  <w:rPr>
                    <w:rFonts w:ascii="Cambria Math" w:hAnsi="Cambria Math"/>
                    <w:b/>
                    <w:szCs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Cs w:val="24"/>
                  </w:rPr>
                  <m:t>1+Y</m:t>
                </m:r>
              </m:e>
            </m:d>
          </m:e>
          <m:sup>
            <m:f>
              <m:fPr>
                <m:ctrlPr>
                  <w:rPr>
                    <w:rFonts w:ascii="Cambria Math" w:hAnsi="Cambria Math"/>
                    <w:b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Cs w:val="24"/>
                  </w:rPr>
                  <m:t>n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</m:sup>
        </m:sSup>
        <m:r>
          <m:rPr>
            <m:sty m:val="b"/>
          </m:rPr>
          <w:rPr>
            <w:rFonts w:ascii="Cambria Math" w:hAnsi="Cambria Math"/>
            <w:szCs w:val="24"/>
          </w:rPr>
          <m:t>-1),</m:t>
        </m:r>
      </m:oMath>
      <w:r w:rsidRPr="00EE2916">
        <w:rPr>
          <w:b/>
          <w:szCs w:val="24"/>
        </w:rPr>
        <w:t xml:space="preserve"> 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где: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I – общий объем инвестиций в проект создания ОКС, руб.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Применение указанной упрощенной формулы не приводит к существенному искажению результата расчета. В расчетах в настоящей оценке может использоваться, как общая, так и упрощенная формула, что не является ошибкой.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Как видно из приведенной выше формулы, прибыль предпринимателя зависит от трех параметров – ставки наращения, доли и продолжительности инвестиций в строительство.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E2916">
        <w:rPr>
          <w:rFonts w:ascii="Times New Roman" w:hAnsi="Times New Roman"/>
          <w:i/>
          <w:sz w:val="24"/>
          <w:szCs w:val="24"/>
        </w:rPr>
        <w:t>Расчет продолжительности строительно-монтажных и проектно-изыскательских работ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Срок строительно-монтажных работ был рассчитан по данным СНиП 1.04.03-85* «Нормы продолжительности строительства и задела в строительстве предприятий, зданий и сооружений» с учетом назначения оцениваемых объектов.</w:t>
      </w:r>
    </w:p>
    <w:p w:rsidR="00EE2916" w:rsidRPr="00EE2916" w:rsidRDefault="00EE2916" w:rsidP="00EE291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Согласно указанных СНиП для общественных зданий и сооружений продолжительность строительства может быть выражена в следующем виде:</w:t>
      </w:r>
    </w:p>
    <w:p w:rsidR="00EE2916" w:rsidRPr="00EE2916" w:rsidRDefault="00EE2916" w:rsidP="00EE2916">
      <w:pPr>
        <w:spacing w:after="120" w:line="240" w:lineRule="auto"/>
        <w:ind w:firstLine="709"/>
        <w:jc w:val="right"/>
        <w:rPr>
          <w:rFonts w:ascii="Times New Roman" w:hAnsi="Times New Roman"/>
          <w:b/>
          <w:i/>
          <w:sz w:val="20"/>
          <w:szCs w:val="20"/>
        </w:rPr>
      </w:pPr>
      <w:r w:rsidRPr="00EE2916">
        <w:rPr>
          <w:rFonts w:ascii="Times New Roman" w:hAnsi="Times New Roman"/>
          <w:b/>
          <w:i/>
          <w:sz w:val="20"/>
          <w:szCs w:val="20"/>
        </w:rPr>
        <w:t>Таблица 76 Срок строительно-монтажных работ</w:t>
      </w:r>
    </w:p>
    <w:tbl>
      <w:tblPr>
        <w:tblW w:w="34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1700"/>
        <w:gridCol w:w="1842"/>
      </w:tblGrid>
      <w:tr w:rsidR="00EE2916" w:rsidRPr="00EE2916" w:rsidTr="00F26E84">
        <w:trPr>
          <w:trHeight w:val="20"/>
          <w:tblHeader/>
          <w:jc w:val="center"/>
        </w:trPr>
        <w:tc>
          <w:tcPr>
            <w:tcW w:w="2221" w:type="pct"/>
            <w:shd w:val="clear" w:color="auto" w:fill="BFBFBF" w:themeFill="background1" w:themeFillShade="BF"/>
            <w:noWrap/>
            <w:vAlign w:val="bottom"/>
            <w:hideMark/>
          </w:tcPr>
          <w:p w:rsidR="00EE2916" w:rsidRPr="00EE2916" w:rsidRDefault="00EE2916" w:rsidP="00EE2916">
            <w:pPr>
              <w:keepNext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EE2916">
              <w:rPr>
                <w:rFonts w:ascii="Times New Roman" w:hAnsi="Times New Roman"/>
                <w:b/>
                <w:color w:val="000000" w:themeColor="text1"/>
                <w:sz w:val="20"/>
              </w:rPr>
              <w:t>Формула</w:t>
            </w:r>
          </w:p>
        </w:tc>
        <w:tc>
          <w:tcPr>
            <w:tcW w:w="1334" w:type="pct"/>
            <w:shd w:val="clear" w:color="auto" w:fill="BFBFBF" w:themeFill="background1" w:themeFillShade="BF"/>
            <w:noWrap/>
            <w:vAlign w:val="bottom"/>
            <w:hideMark/>
          </w:tcPr>
          <w:p w:rsidR="00EE2916" w:rsidRPr="00EE2916" w:rsidRDefault="00EE2916" w:rsidP="00EE2916">
            <w:pPr>
              <w:keepNext/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pPr>
            <w:r w:rsidRPr="00EE2916"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  <w:t>А1</w:t>
            </w:r>
          </w:p>
        </w:tc>
        <w:tc>
          <w:tcPr>
            <w:tcW w:w="1446" w:type="pct"/>
            <w:shd w:val="clear" w:color="auto" w:fill="BFBFBF" w:themeFill="background1" w:themeFillShade="BF"/>
            <w:noWrap/>
            <w:vAlign w:val="bottom"/>
            <w:hideMark/>
          </w:tcPr>
          <w:p w:rsidR="00EE2916" w:rsidRPr="00EE2916" w:rsidRDefault="00EE2916" w:rsidP="00EE2916">
            <w:pPr>
              <w:keepNext/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pPr>
            <w:r w:rsidRPr="00EE2916"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  <w:t>А2</w:t>
            </w:r>
          </w:p>
        </w:tc>
      </w:tr>
      <w:tr w:rsidR="00EE2916" w:rsidRPr="00EE2916" w:rsidTr="00F26E84">
        <w:trPr>
          <w:trHeight w:val="20"/>
          <w:jc w:val="center"/>
        </w:trPr>
        <w:tc>
          <w:tcPr>
            <w:tcW w:w="2221" w:type="pct"/>
            <w:shd w:val="clear" w:color="auto" w:fill="auto"/>
            <w:noWrap/>
            <w:vAlign w:val="bottom"/>
            <w:hideMark/>
          </w:tcPr>
          <w:p w:rsidR="00EE2916" w:rsidRPr="00EE2916" w:rsidRDefault="00EE2916" w:rsidP="00EE29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m:oMathPara>
              <m:oMath>
                <m:r>
                  <w:rPr>
                    <w:rFonts w:ascii="Cambria Math" w:hAnsi="Cambria Math"/>
                    <w:spacing w:val="-5"/>
                    <w:sz w:val="20"/>
                  </w:rPr>
                  <m:t>T=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-5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1</m:t>
                    </m:r>
                  </m:sub>
                </m:sSub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pacing w:val="-5"/>
                        <w:sz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C</m:t>
                    </m:r>
                  </m:e>
                </m:rad>
                <m:r>
                  <w:rPr>
                    <w:rFonts w:ascii="Cambria Math" w:hAnsi="Cambria Math"/>
                    <w:spacing w:val="-5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-5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pacing w:val="-5"/>
                    <w:sz w:val="20"/>
                  </w:rPr>
                  <m:t>C</m:t>
                </m:r>
              </m:oMath>
            </m:oMathPara>
          </w:p>
        </w:tc>
        <w:tc>
          <w:tcPr>
            <w:tcW w:w="1334" w:type="pct"/>
            <w:shd w:val="clear" w:color="auto" w:fill="auto"/>
            <w:noWrap/>
            <w:vAlign w:val="bottom"/>
            <w:hideMark/>
          </w:tcPr>
          <w:p w:rsidR="00EE2916" w:rsidRPr="00EE2916" w:rsidRDefault="00EE2916" w:rsidP="00EE29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EE2916">
              <w:rPr>
                <w:rFonts w:ascii="Times New Roman" w:hAnsi="Times New Roman"/>
                <w:color w:val="000000" w:themeColor="text1"/>
                <w:sz w:val="20"/>
              </w:rPr>
              <w:t>13,8</w:t>
            </w:r>
          </w:p>
        </w:tc>
        <w:tc>
          <w:tcPr>
            <w:tcW w:w="1446" w:type="pct"/>
            <w:shd w:val="clear" w:color="auto" w:fill="auto"/>
            <w:noWrap/>
            <w:vAlign w:val="bottom"/>
            <w:hideMark/>
          </w:tcPr>
          <w:p w:rsidR="00EE2916" w:rsidRPr="00EE2916" w:rsidRDefault="00EE2916" w:rsidP="00EE29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EE2916">
              <w:rPr>
                <w:rFonts w:ascii="Times New Roman" w:hAnsi="Times New Roman"/>
                <w:color w:val="000000" w:themeColor="text1"/>
                <w:sz w:val="20"/>
              </w:rPr>
              <w:t>-1,4</w:t>
            </w:r>
          </w:p>
        </w:tc>
      </w:tr>
      <w:tr w:rsidR="00EE2916" w:rsidRPr="00EE2916" w:rsidTr="00F26E84">
        <w:trPr>
          <w:trHeight w:val="20"/>
          <w:jc w:val="center"/>
        </w:trPr>
        <w:tc>
          <w:tcPr>
            <w:tcW w:w="2221" w:type="pct"/>
            <w:shd w:val="clear" w:color="auto" w:fill="auto"/>
            <w:noWrap/>
            <w:vAlign w:val="bottom"/>
            <w:hideMark/>
          </w:tcPr>
          <w:p w:rsidR="00EE2916" w:rsidRPr="00EE2916" w:rsidRDefault="00EE2916" w:rsidP="00EE29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m:oMathPara>
              <m:oMath>
                <m:r>
                  <w:rPr>
                    <w:rFonts w:ascii="Cambria Math" w:hAnsi="Cambria Math"/>
                    <w:spacing w:val="-5"/>
                    <w:sz w:val="20"/>
                  </w:rPr>
                  <m:t>T=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-5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1</m:t>
                    </m:r>
                  </m:sub>
                </m:sSub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pacing w:val="-5"/>
                        <w:sz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C</m:t>
                    </m:r>
                  </m:e>
                </m:rad>
                <m:r>
                  <w:rPr>
                    <w:rFonts w:ascii="Cambria Math" w:hAnsi="Cambria Math"/>
                    <w:spacing w:val="-5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-5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334" w:type="pct"/>
            <w:shd w:val="clear" w:color="auto" w:fill="auto"/>
            <w:noWrap/>
            <w:vAlign w:val="bottom"/>
            <w:hideMark/>
          </w:tcPr>
          <w:p w:rsidR="00EE2916" w:rsidRPr="00EE2916" w:rsidRDefault="00EE2916" w:rsidP="00EE29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EE2916">
              <w:rPr>
                <w:rFonts w:ascii="Times New Roman" w:hAnsi="Times New Roman"/>
                <w:color w:val="000000" w:themeColor="text1"/>
                <w:sz w:val="20"/>
              </w:rPr>
              <w:t>3</w:t>
            </w:r>
          </w:p>
        </w:tc>
        <w:tc>
          <w:tcPr>
            <w:tcW w:w="1446" w:type="pct"/>
            <w:shd w:val="clear" w:color="auto" w:fill="auto"/>
            <w:noWrap/>
            <w:vAlign w:val="bottom"/>
            <w:hideMark/>
          </w:tcPr>
          <w:p w:rsidR="00EE2916" w:rsidRPr="00EE2916" w:rsidRDefault="00EE2916" w:rsidP="00EE29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EE2916">
              <w:rPr>
                <w:rFonts w:ascii="Times New Roman" w:hAnsi="Times New Roman"/>
                <w:color w:val="000000" w:themeColor="text1"/>
                <w:sz w:val="20"/>
              </w:rPr>
              <w:t>12,5</w:t>
            </w:r>
          </w:p>
        </w:tc>
      </w:tr>
      <w:tr w:rsidR="00EE2916" w:rsidRPr="00EE2916" w:rsidTr="00F26E84">
        <w:trPr>
          <w:trHeight w:val="20"/>
          <w:jc w:val="center"/>
        </w:trPr>
        <w:tc>
          <w:tcPr>
            <w:tcW w:w="2221" w:type="pct"/>
            <w:shd w:val="clear" w:color="auto" w:fill="auto"/>
            <w:noWrap/>
            <w:vAlign w:val="bottom"/>
          </w:tcPr>
          <w:p w:rsidR="00EE2916" w:rsidRPr="00EE2916" w:rsidRDefault="00EE2916" w:rsidP="00EE2916">
            <w:pPr>
              <w:spacing w:after="0"/>
              <w:jc w:val="center"/>
              <w:rPr>
                <w:rFonts w:ascii="Times New Roman" w:hAnsi="Times New Roman"/>
                <w:spacing w:val="-5"/>
                <w:sz w:val="20"/>
              </w:rPr>
            </w:pPr>
            <m:oMathPara>
              <m:oMath>
                <m:r>
                  <w:rPr>
                    <w:rFonts w:ascii="Cambria Math" w:hAnsi="Cambria Math"/>
                    <w:spacing w:val="-5"/>
                    <w:sz w:val="20"/>
                  </w:rPr>
                  <m:t>T=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-5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pacing w:val="-5"/>
                    <w:sz w:val="20"/>
                  </w:rPr>
                  <m:t>С+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pacing w:val="-5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pacing w:val="-5"/>
                        <w:sz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334" w:type="pct"/>
            <w:shd w:val="clear" w:color="auto" w:fill="auto"/>
            <w:noWrap/>
            <w:vAlign w:val="bottom"/>
          </w:tcPr>
          <w:p w:rsidR="00EE2916" w:rsidRPr="00EE2916" w:rsidRDefault="00EE2916" w:rsidP="00EE29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EE2916">
              <w:rPr>
                <w:rFonts w:ascii="Times New Roman" w:hAnsi="Times New Roman"/>
                <w:color w:val="000000" w:themeColor="text1"/>
                <w:sz w:val="20"/>
              </w:rPr>
              <w:t>4</w:t>
            </w:r>
          </w:p>
        </w:tc>
        <w:tc>
          <w:tcPr>
            <w:tcW w:w="1446" w:type="pct"/>
            <w:shd w:val="clear" w:color="auto" w:fill="auto"/>
            <w:noWrap/>
            <w:vAlign w:val="bottom"/>
          </w:tcPr>
          <w:p w:rsidR="00EE2916" w:rsidRPr="00EE2916" w:rsidRDefault="00EE2916" w:rsidP="00EE29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EE2916">
              <w:rPr>
                <w:rFonts w:ascii="Times New Roman" w:hAnsi="Times New Roman"/>
                <w:color w:val="000000" w:themeColor="text1"/>
                <w:sz w:val="20"/>
              </w:rPr>
              <w:t>9,4</w:t>
            </w:r>
          </w:p>
        </w:tc>
      </w:tr>
    </w:tbl>
    <w:p w:rsidR="00EE2916" w:rsidRPr="00EE2916" w:rsidRDefault="00EE2916" w:rsidP="00EE291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где: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Т – Срок выполнения СМР (не включает в себя временные затраты на проектирование);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lastRenderedPageBreak/>
        <w:t>А1, А2 – заданные СНиП параметры уравнения, определенные по данным статистики для каждого вида использования;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С - объем строительно-монтажных работ, млн. руб., в ценах 1984 г.</w:t>
      </w:r>
      <w:r w:rsidRPr="00EE2916">
        <w:rPr>
          <w:rFonts w:ascii="Times New Roman" w:hAnsi="Times New Roman"/>
          <w:sz w:val="24"/>
          <w:szCs w:val="24"/>
          <w:vertAlign w:val="superscript"/>
        </w:rPr>
        <w:footnoteReference w:id="1"/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Пересчет затрат на строительство в цены 1984 года производился по средним региональным индексам цен, приведенным в разделе 2.1 в бюллетене КО-ИНВЕСТ «Индексы цен в строительстве. №101» для условий Московской области.</w:t>
      </w:r>
    </w:p>
    <w:p w:rsidR="00EE2916" w:rsidRPr="00EE2916" w:rsidRDefault="00EE2916" w:rsidP="00EE2916">
      <w:pPr>
        <w:spacing w:before="120" w:after="0"/>
        <w:jc w:val="center"/>
      </w:pPr>
      <w:r w:rsidRPr="00EE2916">
        <w:rPr>
          <w:noProof/>
          <w:lang w:eastAsia="ru-RU"/>
        </w:rPr>
        <w:drawing>
          <wp:inline distT="0" distB="0" distL="0" distR="0" wp14:anchorId="2C55F68C" wp14:editId="78E03278">
            <wp:extent cx="4614406" cy="3695700"/>
            <wp:effectExtent l="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 rotWithShape="1">
                    <a:blip r:embed="rId7" cstate="print"/>
                    <a:srcRect l="24521" t="31067" r="36486" b="13388"/>
                    <a:stretch/>
                  </pic:blipFill>
                  <pic:spPr bwMode="auto">
                    <a:xfrm>
                      <a:off x="0" y="0"/>
                      <a:ext cx="4622664" cy="37023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2916" w:rsidRPr="00EE2916" w:rsidRDefault="00EE2916" w:rsidP="00EE291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0"/>
          <w:szCs w:val="20"/>
        </w:rPr>
      </w:pPr>
      <w:r w:rsidRPr="00EE2916">
        <w:rPr>
          <w:rFonts w:ascii="Times New Roman" w:hAnsi="Times New Roman"/>
          <w:b/>
          <w:i/>
          <w:sz w:val="20"/>
          <w:szCs w:val="20"/>
        </w:rPr>
        <w:t>Рисунок 16 Индексы цен в строительстве</w:t>
      </w:r>
    </w:p>
    <w:p w:rsidR="00EE2916" w:rsidRPr="00EE2916" w:rsidRDefault="00EE2916" w:rsidP="00EE2916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Базой для расчета является стоимость строительства, определенная по справочнику «КО-Инвест» по состоянию на 01.01.2016, расчетный индекс от даты справочника (01.01.2016) к 01.01.1984 = 0,04989/8,358 = 0,0060.</w:t>
      </w:r>
    </w:p>
    <w:p w:rsidR="00EE2916" w:rsidRPr="00EE2916" w:rsidRDefault="00EE2916" w:rsidP="00EE2916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Затраты на строительство по состоянию на 01.01.1984г. в  справочниках «Ко-Инвест» для Республики Крым отсутствуют, стоимость строительства  в Московской области и Республике Крым, находятся ориентировочно в одинаковом диапазоне, а так же стоимость  строительства в период с 2016г. по 01.01.2020г.(дата оценки), не претерпела существенных изменений как в Московской области так и в Республики Крым.</w:t>
      </w:r>
    </w:p>
    <w:p w:rsidR="00EE2916" w:rsidRPr="00EE2916" w:rsidRDefault="00EE2916" w:rsidP="00EE2916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На основании вышесказанного базой для расчета является стоимость строительства, определенная по справочнику «КО-Инвест» для Московской области по состоянию на 01.01.2016, расчетный индекс от даты справочника (01.01.2016) к 01.01.1984 = 0,04989/8,358 = 0,0060, который является актуальным для Республики Крым на дату оценки 01.01.2020г..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E2916">
        <w:rPr>
          <w:rFonts w:ascii="Times New Roman" w:hAnsi="Times New Roman"/>
          <w:i/>
          <w:sz w:val="24"/>
          <w:szCs w:val="24"/>
        </w:rPr>
        <w:t>Выбор ставки наращения</w:t>
      </w:r>
    </w:p>
    <w:p w:rsidR="00EE2916" w:rsidRPr="00EE2916" w:rsidRDefault="00EE2916" w:rsidP="00EE291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Инвестор, при вкладывании средств в строительство объектов различного назначения, ожидает получить доходность не ниже уровня доходности альтернативных проектов. В данном отчете было принято решение использовать в качестве номинальной ставки наращения средневзвешенную процентную ставку бескупонной доходности государственных облигаций.</w:t>
      </w:r>
    </w:p>
    <w:p w:rsidR="00EE2916" w:rsidRPr="00EE2916" w:rsidRDefault="00EE2916" w:rsidP="00EE2916">
      <w:pPr>
        <w:spacing w:after="120" w:line="240" w:lineRule="auto"/>
        <w:ind w:firstLine="709"/>
        <w:jc w:val="right"/>
        <w:rPr>
          <w:rFonts w:ascii="Times New Roman" w:hAnsi="Times New Roman"/>
          <w:b/>
          <w:i/>
          <w:sz w:val="20"/>
          <w:szCs w:val="20"/>
        </w:rPr>
      </w:pPr>
      <w:r w:rsidRPr="00EE2916">
        <w:rPr>
          <w:rFonts w:ascii="Times New Roman" w:hAnsi="Times New Roman"/>
          <w:b/>
          <w:i/>
          <w:sz w:val="20"/>
          <w:szCs w:val="20"/>
        </w:rPr>
        <w:t xml:space="preserve">Таблица 77 Средневзвешенные процентные ставки </w:t>
      </w:r>
    </w:p>
    <w:p w:rsidR="00EE2916" w:rsidRPr="00EE2916" w:rsidRDefault="00EE2916" w:rsidP="00EE2916">
      <w:pPr>
        <w:spacing w:after="0"/>
        <w:jc w:val="both"/>
      </w:pPr>
      <w:r w:rsidRPr="00EE2916">
        <w:rPr>
          <w:noProof/>
          <w:lang w:eastAsia="ru-RU"/>
        </w:rPr>
        <w:lastRenderedPageBreak/>
        <w:drawing>
          <wp:inline distT="0" distB="0" distL="0" distR="0" wp14:anchorId="4BFD2F16" wp14:editId="4B0444D2">
            <wp:extent cx="5940425" cy="3341764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16" w:rsidRPr="00EE2916" w:rsidRDefault="00EE2916" w:rsidP="00EE2916">
      <w:pPr>
        <w:spacing w:after="0"/>
        <w:jc w:val="both"/>
      </w:pPr>
    </w:p>
    <w:p w:rsidR="00EE2916" w:rsidRPr="00EE2916" w:rsidRDefault="00EE2916" w:rsidP="00EE2916">
      <w:pPr>
        <w:rPr>
          <w:rFonts w:ascii="Times New Roman" w:hAnsi="Times New Roman"/>
          <w:sz w:val="20"/>
          <w:szCs w:val="20"/>
        </w:rPr>
      </w:pPr>
      <w:r w:rsidRPr="00EE2916">
        <w:rPr>
          <w:rFonts w:ascii="Times New Roman" w:hAnsi="Times New Roman"/>
          <w:i/>
          <w:sz w:val="20"/>
          <w:szCs w:val="20"/>
        </w:rPr>
        <w:t xml:space="preserve">Источник: </w:t>
      </w:r>
      <w:r w:rsidRPr="00EE2916">
        <w:rPr>
          <w:rFonts w:ascii="Times New Roman" w:hAnsi="Times New Roman"/>
          <w:sz w:val="20"/>
          <w:szCs w:val="20"/>
        </w:rPr>
        <w:t>https://cbr.ru/hd_base/zcyc_params/?UniDbQuery.Posted=True&amp;UniDbQuery.FromDate=01.01.2020&amp;UniDbQuery.ToDate=15.01.2020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Для расчета  6,67% (срок погашения до 20 лет).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 xml:space="preserve">Поскольку показатели затрат на строительство приведены для объектов, заканчиваемых строительным производством, указанная доходность, помимо чистой доходности инвестора (реальной доходности), включает в себя и инфляционную составляющую. </w:t>
      </w:r>
    </w:p>
    <w:p w:rsidR="00EE2916" w:rsidRPr="00EE2916" w:rsidRDefault="00EE2916" w:rsidP="00EE291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Доходность на вложенные инвестиции, учитывая использование данных справочников, приведенные к дате оценки (то есть, уже содержащие инфляцию за время строительства), корректнее считать в реальных деньгах, поэтому значение доходности альтернативных проектов было очищено от инфляции по формуле Фишера:</w:t>
      </w:r>
    </w:p>
    <w:p w:rsidR="00EE2916" w:rsidRPr="00EE2916" w:rsidRDefault="00EE2916" w:rsidP="00EE2916">
      <w:pPr>
        <w:spacing w:before="120" w:after="120"/>
        <w:jc w:val="center"/>
        <w:rPr>
          <w:b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4"/>
              </w:rPr>
              <m:t>Y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4"/>
              </w:rPr>
              <m:t>real</m:t>
            </m:r>
          </m:sub>
        </m:sSub>
        <m:r>
          <m:rPr>
            <m:sty m:val="b"/>
          </m:rP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Cs w:val="24"/>
                  </w:rPr>
                  <m:t>Y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Cs w:val="24"/>
                  </w:rPr>
                  <m:t>nom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szCs w:val="24"/>
              </w:rPr>
              <m:t>-λ</m:t>
            </m:r>
          </m:num>
          <m:den>
            <m:r>
              <m:rPr>
                <m:sty m:val="b"/>
              </m:rPr>
              <w:rPr>
                <w:rFonts w:ascii="Cambria Math" w:hAnsi="Cambria Math"/>
                <w:szCs w:val="24"/>
              </w:rPr>
              <m:t>1+λ</m:t>
            </m:r>
          </m:den>
        </m:f>
      </m:oMath>
      <w:r w:rsidRPr="00EE2916">
        <w:rPr>
          <w:b/>
          <w:szCs w:val="24"/>
        </w:rPr>
        <w:t>,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где: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Yreal – реальная ставка наращения;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Ynom – номинальная ставка наращения;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λ- темп инфляции.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С учетом того факта, что расчет стоимости объектов проводится в номинальных ценах на дату оценки (влияние инфляции учтено в самой цене), необходимо учесть наращение по реальной ставке сверх инфляции.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Как правило, общий срок реализации девелоперского проекта (срок проектирования, согласования и непосредственного строительства) не превышает 3 лет. В противном случае объекты недвижимости стараются строить в несколько очередей (исключение составляет возведение уникальных или особо сложных объектов). Рассматриваемые альтернативные проекты реализовывались в течение 24 месяцев, в связи с чем использовались данные по инфляции за указанный срок:</w:t>
      </w:r>
    </w:p>
    <w:p w:rsidR="00EE2916" w:rsidRPr="00EE2916" w:rsidRDefault="00EE2916" w:rsidP="00EE2916">
      <w:pPr>
        <w:spacing w:before="120"/>
        <w:jc w:val="right"/>
        <w:rPr>
          <w:rFonts w:ascii="Times New Roman" w:hAnsi="Times New Roman"/>
          <w:b/>
          <w:bCs/>
          <w:i/>
          <w:sz w:val="20"/>
        </w:rPr>
      </w:pPr>
      <w:r w:rsidRPr="00EE2916">
        <w:rPr>
          <w:rFonts w:ascii="Times New Roman" w:hAnsi="Times New Roman"/>
          <w:b/>
          <w:i/>
          <w:sz w:val="20"/>
        </w:rPr>
        <w:t xml:space="preserve">Таблица 78 </w:t>
      </w:r>
      <w:r w:rsidRPr="00EE2916">
        <w:rPr>
          <w:rFonts w:ascii="Times New Roman" w:hAnsi="Times New Roman"/>
          <w:b/>
          <w:bCs/>
          <w:i/>
          <w:sz w:val="20"/>
        </w:rPr>
        <w:t>Прогноз инфляции на 2020, 2021-2023 годы в России</w:t>
      </w:r>
    </w:p>
    <w:p w:rsidR="00EE2916" w:rsidRPr="00EE2916" w:rsidRDefault="00EE2916" w:rsidP="00EE2916">
      <w:pPr>
        <w:spacing w:before="120"/>
        <w:jc w:val="right"/>
        <w:rPr>
          <w:rFonts w:ascii="Times New Roman" w:hAnsi="Times New Roman"/>
          <w:b/>
          <w:i/>
          <w:sz w:val="20"/>
        </w:rPr>
      </w:pPr>
    </w:p>
    <w:p w:rsidR="00EE2916" w:rsidRPr="00EE2916" w:rsidRDefault="00EE2916" w:rsidP="00EE2916">
      <w:pPr>
        <w:shd w:val="clear" w:color="auto" w:fill="FFFFFF"/>
        <w:spacing w:after="122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EE291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По данным Росстата в 2019 году инфляция снизилась до 3% за год с 4.3% в 2018 году. В 2017 году инфляция в России была на уровне 2.5%, против 5,4% в 2016 году. В 2015 году </w:t>
      </w:r>
      <w:r w:rsidRPr="00EE291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инфляция была на уровне 12,9%, в 2014 году - 11,4%, 6,5% в 2013 году, 6,6% в 2012 году, 6,1% в 2011 году и 8,8% в 2010 и 2009 годах, 13,3% в 2008.</w:t>
      </w:r>
    </w:p>
    <w:p w:rsidR="00EE2916" w:rsidRPr="00EE2916" w:rsidRDefault="00EE2916" w:rsidP="00EE2916">
      <w:pPr>
        <w:shd w:val="clear" w:color="auto" w:fill="FFFFFF"/>
        <w:spacing w:after="122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EE2916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Прогноз инфляции в таблице по годам</w:t>
      </w:r>
      <w:r w:rsidRPr="00EE291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(от 27.12.2019).</w:t>
      </w:r>
    </w:p>
    <w:tbl>
      <w:tblPr>
        <w:tblW w:w="4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"/>
        <w:gridCol w:w="1099"/>
        <w:gridCol w:w="1084"/>
        <w:gridCol w:w="1054"/>
      </w:tblGrid>
      <w:tr w:rsidR="00EE2916" w:rsidRPr="00EE2916" w:rsidTr="00F26E84">
        <w:trPr>
          <w:trHeight w:val="300"/>
        </w:trPr>
        <w:tc>
          <w:tcPr>
            <w:tcW w:w="963" w:type="dxa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:</w:t>
            </w: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</w:t>
            </w:r>
          </w:p>
        </w:tc>
      </w:tr>
      <w:tr w:rsidR="00EE2916" w:rsidRPr="00EE2916" w:rsidTr="00F26E84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4.75%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3.25%</w:t>
            </w:r>
          </w:p>
        </w:tc>
      </w:tr>
      <w:tr w:rsidR="00EE2916" w:rsidRPr="00EE2916" w:rsidTr="00F26E84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4.75%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3.25%</w:t>
            </w:r>
          </w:p>
        </w:tc>
      </w:tr>
      <w:tr w:rsidR="00EE2916" w:rsidRPr="00EE2916" w:rsidTr="00F26E84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3.8%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4.18%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3.43%</w:t>
            </w:r>
          </w:p>
        </w:tc>
      </w:tr>
      <w:tr w:rsidR="00EE2916" w:rsidRPr="00EE2916" w:rsidTr="00F26E84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3.78%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3.03%</w:t>
            </w:r>
          </w:p>
        </w:tc>
      </w:tr>
      <w:tr w:rsidR="00EE2916" w:rsidRPr="00EE2916" w:rsidTr="00F26E84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3.88%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916" w:rsidRPr="00EE2916" w:rsidRDefault="00EE2916" w:rsidP="00EE29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9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3.13%</w:t>
            </w:r>
          </w:p>
        </w:tc>
      </w:tr>
    </w:tbl>
    <w:p w:rsidR="00EE2916" w:rsidRPr="00EE2916" w:rsidRDefault="00EE2916" w:rsidP="00EE2916">
      <w:pPr>
        <w:shd w:val="clear" w:color="auto" w:fill="FFFFFF"/>
        <w:spacing w:after="122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EE291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Прогноз инфляции на 2020 год - 4%. Максимальный прогнозируемый уровень: 4.75%. Минимальный уровень 3.25%.</w:t>
      </w:r>
      <w:r w:rsidRPr="00EE291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Прогноз инфляции на 2021 год - 4%. Максимальный прогнозируемый уровень: 4.75%. Минимальный уровень 3.25%.</w:t>
      </w:r>
      <w:r w:rsidRPr="00EE291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Прогноз инфляции на 2022 год - 3.8%. Максимальный прогнозируемый уровень: 4.175%. Минимальный уровень 3.425%.</w:t>
      </w:r>
      <w:r w:rsidRPr="00EE291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Прогноз инфляции на 2023 год - 3.4%. Максимальный прогнозируемый уровень: 3.775%. Минимальный уровень 3.025%.</w:t>
      </w:r>
      <w:r w:rsidRPr="00EE291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Прогноз инфляции на 2024 год - 3.5%. Максимальный прогнозируемый уровень: 3.875%. Минимальный уровень 3.125%.</w:t>
      </w:r>
    </w:p>
    <w:p w:rsidR="00EE2916" w:rsidRPr="00EE2916" w:rsidRDefault="00EE2916" w:rsidP="00EE2916">
      <w:pPr>
        <w:rPr>
          <w:rFonts w:ascii="Times New Roman" w:hAnsi="Times New Roman"/>
          <w:sz w:val="20"/>
          <w:szCs w:val="20"/>
        </w:rPr>
      </w:pPr>
      <w:r w:rsidRPr="00EE2916">
        <w:rPr>
          <w:rFonts w:ascii="Times New Roman" w:hAnsi="Times New Roman"/>
          <w:sz w:val="20"/>
          <w:szCs w:val="20"/>
        </w:rPr>
        <w:t xml:space="preserve">Источник: https://apecon.ru/prognoz-inflyatsii-na-gody-v-rossii 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E2916">
        <w:rPr>
          <w:rFonts w:ascii="Times New Roman" w:hAnsi="Times New Roman"/>
          <w:i/>
          <w:sz w:val="24"/>
          <w:szCs w:val="24"/>
        </w:rPr>
        <w:t>Итоговый расчет прибыли предпринимателя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При построении графика инвестирования средств в строительство учитывалось равномерное (аннуитетное) распределение затрат для каждого из периодов строительства.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 xml:space="preserve">Величина затрат на ПИР условно принята на уровне 5% от общих затрат на строительство и распределена по графику инвестиций аннуитетными платежами, затраты на СМР также учтены равномерными и составляют 95%. Срок проведения ПИР при этом составляет в среднем 15-25% от срока строительно-монтажных работ (СНиП 1.04.03-85). В расчетах продолжительность ПИР принята равной 20% от СМР. 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Проиллюстрировать график инвестирования можно на примере возведения типового здания:</w:t>
      </w:r>
    </w:p>
    <w:p w:rsidR="00EE2916" w:rsidRPr="00EE2916" w:rsidRDefault="00EE2916" w:rsidP="00EE29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DD1005B" wp14:editId="56079B9E">
            <wp:extent cx="5221178" cy="2845004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29" t="2129" r="1408" b="5871"/>
                    <a:stretch/>
                  </pic:blipFill>
                  <pic:spPr bwMode="auto">
                    <a:xfrm>
                      <a:off x="0" y="0"/>
                      <a:ext cx="5224371" cy="2846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2916" w:rsidRPr="00EE2916" w:rsidRDefault="00EE2916" w:rsidP="00EE2916">
      <w:pPr>
        <w:spacing w:before="120"/>
        <w:jc w:val="center"/>
        <w:rPr>
          <w:rFonts w:ascii="Times New Roman" w:hAnsi="Times New Roman"/>
          <w:b/>
          <w:i/>
          <w:sz w:val="20"/>
        </w:rPr>
      </w:pPr>
      <w:r w:rsidRPr="00EE2916">
        <w:rPr>
          <w:rFonts w:ascii="Times New Roman" w:hAnsi="Times New Roman"/>
          <w:b/>
          <w:i/>
          <w:sz w:val="20"/>
        </w:rPr>
        <w:t>Рисунок 17 График инвестирования в строительство типового здания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lastRenderedPageBreak/>
        <w:t xml:space="preserve">Для каждого периода ПИР и СМР рассчитывается фактор стоимости инвестиций, равный будущей стоимости вложенной единицы средств по реальной ставке наращения на середину периода. </w:t>
      </w:r>
    </w:p>
    <w:p w:rsidR="00EE2916" w:rsidRPr="00EE2916" w:rsidRDefault="00EE2916" w:rsidP="00EE291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Общий фактор стоимости инвестиций в проект рассчитывается как средневзвешенная величина по периодическим факторам стоимости в зависимости от доли инвестиций в конкретном квартале:</w:t>
      </w:r>
    </w:p>
    <w:p w:rsidR="00EE2916" w:rsidRPr="00EE2916" w:rsidRDefault="00EE2916" w:rsidP="00EE2916">
      <w:pPr>
        <w:ind w:firstLine="709"/>
        <w:jc w:val="both"/>
        <w:rPr>
          <w:szCs w:val="24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/>
              <w:szCs w:val="24"/>
            </w:rPr>
            <m:t>ФС</m:t>
          </m:r>
          <m:r>
            <m:rPr>
              <m:sty m:val="p"/>
            </m:rPr>
            <w:rPr>
              <w:rFonts w:asci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Cs w:val="24"/>
                </w:rPr>
              </m:ctrlPr>
            </m:fPr>
            <m:num>
              <m:nary>
                <m:naryPr>
                  <m:chr m:val="∑"/>
                  <m:ctrlPr>
                    <w:rPr>
                      <w:rFonts w:ascii="Cambria Math" w:hAnsi="Cambria Math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/>
                      <w:szCs w:val="24"/>
                    </w:rPr>
                    <m:t>=0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Cambria Math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Cs w:val="24"/>
                            </w:rPr>
                            <m:t>1+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Y</m:t>
                          </m:r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n-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n-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Cs w:val="24"/>
                            </w:rPr>
                            <m:t>0,5</m:t>
                          </m:r>
                        </m:e>
                      </m:d>
                    </m:sup>
                  </m:sSup>
                </m:e>
              </m:nary>
            </m:num>
            <m:den>
              <m:nary>
                <m:naryPr>
                  <m:chr m:val="∑"/>
                  <m:ctrlPr>
                    <w:rPr>
                      <w:rFonts w:ascii="Cambria Math" w:hAnsi="Cambria Math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/>
                      <w:szCs w:val="24"/>
                    </w:rPr>
                    <m:t>=0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i</m:t>
                      </m:r>
                    </m:sub>
                  </m:sSub>
                </m:e>
              </m:nary>
            </m:den>
          </m:f>
        </m:oMath>
      </m:oMathPara>
    </w:p>
    <w:p w:rsidR="00EE2916" w:rsidRPr="00EE2916" w:rsidRDefault="00EE2916" w:rsidP="00EE2916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Для выделения непосредственно самой величины прибыли предпринимателя из полученного результата необходимо отнять суммарные первоначальные инвестиции (поскольку речь идет о долях, то в данном случае эта величина составит 1 или 100%), тогда выше приведенная формула трансформируется в следующую, которая соответствует методике компенсации вмененных издержек:</w:t>
      </w:r>
    </w:p>
    <w:p w:rsidR="00EE2916" w:rsidRPr="00EE2916" w:rsidRDefault="00EE2916" w:rsidP="00EE2916">
      <w:pPr>
        <w:ind w:firstLine="709"/>
        <w:jc w:val="both"/>
        <w:rPr>
          <w:szCs w:val="24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/>
              <w:szCs w:val="24"/>
            </w:rPr>
            <m:t>ПП</m:t>
          </m:r>
          <m:r>
            <m:rPr>
              <m:sty m:val="p"/>
            </m:rPr>
            <w:rPr>
              <w:rFonts w:ascii="Cambria Math"/>
              <w:szCs w:val="24"/>
            </w:rPr>
            <m:t>%=</m:t>
          </m:r>
          <m:f>
            <m:fPr>
              <m:ctrlPr>
                <w:rPr>
                  <w:rFonts w:ascii="Cambria Math" w:hAnsi="Cambria Math"/>
                  <w:szCs w:val="24"/>
                </w:rPr>
              </m:ctrlPr>
            </m:fPr>
            <m:num>
              <m:nary>
                <m:naryPr>
                  <m:chr m:val="∑"/>
                  <m:ctrlPr>
                    <w:rPr>
                      <w:rFonts w:ascii="Cambria Math" w:hAnsi="Cambria Math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/>
                      <w:szCs w:val="24"/>
                    </w:rPr>
                    <m:t>=0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Cambria Math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Cs w:val="24"/>
                            </w:rPr>
                            <m:t>1+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Y</m:t>
                          </m:r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n-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n-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Cs w:val="24"/>
                            </w:rPr>
                            <m:t>0,5</m:t>
                          </m:r>
                        </m:e>
                      </m:d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-</m:t>
                  </m:r>
                  <m:nary>
                    <m:naryPr>
                      <m:chr m:val="∑"/>
                      <m:ctrlPr>
                        <w:rPr>
                          <w:rFonts w:ascii="Cambria Math" w:hAnsi="Cambria Math"/>
                          <w:szCs w:val="24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Cs w:val="24"/>
                        </w:rPr>
                        <m:t>=0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∆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nary>
                </m:e>
              </m:nary>
            </m:num>
            <m:den>
              <m:nary>
                <m:naryPr>
                  <m:chr m:val="∑"/>
                  <m:ctrlPr>
                    <w:rPr>
                      <w:rFonts w:ascii="Cambria Math" w:hAnsi="Cambria Math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/>
                      <w:szCs w:val="24"/>
                    </w:rPr>
                    <m:t>=0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i</m:t>
                      </m:r>
                    </m:sub>
                  </m:sSub>
                </m:e>
              </m:nary>
            </m:den>
          </m:f>
        </m:oMath>
      </m:oMathPara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 xml:space="preserve">где: 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∆I – доля инвестиций в i-ый период.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Формула для расчета величины прибыли предпринимателя принята по формуле, приведенной в курсе лекций А.Ю. Бойко «Теория и практика затратного подхода». Формула в курсе лекций выведена на основании предложений коллег-оценщиков, опубликованных, в том числе, и в следующих источниках: С.В. Грибовский Оценка стоимости недвижимости: Учебное пособие. – М.:Маросейка, 2009. – 432 с., стр.308, формула 10.14; Озеров Е.С. Экономика и менеджмент недвижимости. СПб.: Издательство «МКС», 2003, стр. 338, формула 7.39.</w:t>
      </w:r>
    </w:p>
    <w:p w:rsidR="00EE2916" w:rsidRPr="00EE2916" w:rsidRDefault="00EE2916" w:rsidP="00EE291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Проведя ряд математических преобразований, формула расчета приобретает упрощенный вид, обеспечивающий достаточную точность расчета:</w:t>
      </w:r>
    </w:p>
    <w:p w:rsidR="00EE2916" w:rsidRPr="00EE2916" w:rsidRDefault="00EE2916" w:rsidP="00EE2916">
      <w:pPr>
        <w:ind w:firstLine="709"/>
        <w:jc w:val="center"/>
        <w:rPr>
          <w:szCs w:val="24"/>
        </w:rPr>
      </w:pPr>
      <w:r w:rsidRPr="00EE2916">
        <w:rPr>
          <w:szCs w:val="24"/>
        </w:rPr>
        <w:object w:dxaOrig="193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09.05pt;height:22.55pt" o:ole="">
            <v:imagedata r:id="rId10" o:title=""/>
          </v:shape>
          <o:OLEObject Type="Embed" ProgID="Equation.3" ShapeID="_x0000_i1027" DrawAspect="Content" ObjectID="_1653825377" r:id="rId11"/>
        </w:objec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где: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Т – продолжительность строительства, мес.;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Y – среднемесячная ставка дохода, %.</w:t>
      </w:r>
    </w:p>
    <w:p w:rsidR="00EE2916" w:rsidRPr="00EE2916" w:rsidRDefault="00EE2916" w:rsidP="00EE2916">
      <w:pPr>
        <w:spacing w:before="120" w:after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EE2916">
        <w:rPr>
          <w:rFonts w:ascii="Times New Roman" w:hAnsi="Times New Roman"/>
          <w:sz w:val="28"/>
          <w:szCs w:val="28"/>
        </w:rPr>
        <w:t>Y = (1+Y</w:t>
      </w:r>
      <w:r w:rsidRPr="00EE2916">
        <w:rPr>
          <w:rFonts w:ascii="Times New Roman" w:hAnsi="Times New Roman"/>
          <w:sz w:val="28"/>
          <w:szCs w:val="28"/>
          <w:vertAlign w:val="subscript"/>
        </w:rPr>
        <w:t>Real</w:t>
      </w:r>
      <w:r w:rsidRPr="00EE2916">
        <w:rPr>
          <w:rFonts w:ascii="Times New Roman" w:hAnsi="Times New Roman"/>
          <w:sz w:val="28"/>
          <w:szCs w:val="28"/>
        </w:rPr>
        <w:t>)1/12 – 1,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где:</w:t>
      </w:r>
    </w:p>
    <w:p w:rsidR="00EE2916" w:rsidRPr="00EE2916" w:rsidRDefault="00EE2916" w:rsidP="00EE29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2916">
        <w:rPr>
          <w:rFonts w:ascii="Times New Roman" w:hAnsi="Times New Roman"/>
          <w:sz w:val="24"/>
          <w:szCs w:val="24"/>
        </w:rPr>
        <w:t>YReal – реальная годовая ставка наращения, определенная выше в размере 2,8% годовых.</w:t>
      </w:r>
    </w:p>
    <w:p w:rsidR="00EE2916" w:rsidRPr="00EE2916" w:rsidRDefault="00EE2916" w:rsidP="00EE2916"/>
    <w:p w:rsidR="008F015B" w:rsidRDefault="00451E9B" w:rsidP="00451E9B">
      <w:bookmarkStart w:id="0" w:name="_GoBack"/>
      <w:bookmarkEnd w:id="0"/>
      <w:r w:rsidRPr="00251CF6">
        <w:rPr>
          <w:rFonts w:ascii="Times New Roman" w:hAnsi="Times New Roman"/>
          <w:sz w:val="24"/>
          <w:szCs w:val="24"/>
        </w:rPr>
        <w:t>.</w:t>
      </w:r>
    </w:p>
    <w:sectPr w:rsidR="008F0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363" w:rsidRDefault="00291363" w:rsidP="00451E9B">
      <w:pPr>
        <w:spacing w:after="0" w:line="240" w:lineRule="auto"/>
      </w:pPr>
      <w:r>
        <w:separator/>
      </w:r>
    </w:p>
  </w:endnote>
  <w:endnote w:type="continuationSeparator" w:id="0">
    <w:p w:rsidR="00291363" w:rsidRDefault="00291363" w:rsidP="0045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363" w:rsidRDefault="00291363" w:rsidP="00451E9B">
      <w:pPr>
        <w:spacing w:after="0" w:line="240" w:lineRule="auto"/>
      </w:pPr>
      <w:r>
        <w:separator/>
      </w:r>
    </w:p>
  </w:footnote>
  <w:footnote w:type="continuationSeparator" w:id="0">
    <w:p w:rsidR="00291363" w:rsidRDefault="00291363" w:rsidP="00451E9B">
      <w:pPr>
        <w:spacing w:after="0" w:line="240" w:lineRule="auto"/>
      </w:pPr>
      <w:r>
        <w:continuationSeparator/>
      </w:r>
    </w:p>
  </w:footnote>
  <w:footnote w:id="1">
    <w:p w:rsidR="00EE2916" w:rsidRPr="00FE7FDE" w:rsidRDefault="00EE2916" w:rsidP="00EE2916">
      <w:pPr>
        <w:pStyle w:val="a4"/>
        <w:rPr>
          <w:sz w:val="18"/>
          <w:szCs w:val="18"/>
        </w:rPr>
      </w:pPr>
      <w:r w:rsidRPr="00D128E6">
        <w:rPr>
          <w:rStyle w:val="a3"/>
          <w:b/>
          <w:bCs/>
          <w:sz w:val="16"/>
          <w:szCs w:val="18"/>
        </w:rPr>
        <w:footnoteRef/>
      </w:r>
      <w:r w:rsidRPr="00D128E6">
        <w:rPr>
          <w:sz w:val="16"/>
          <w:szCs w:val="18"/>
        </w:rPr>
        <w:t xml:space="preserve"> </w:t>
      </w:r>
      <w:r w:rsidRPr="00D128E6">
        <w:rPr>
          <w:rFonts w:eastAsia="MS ??"/>
          <w:bCs/>
          <w:sz w:val="16"/>
          <w:szCs w:val="18"/>
        </w:rPr>
        <w:t>В данном случае СМР включают ПИР. Далее под рассматриваемой величиной будут пониматься затраты на строительство.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9B"/>
    <w:rsid w:val="00291363"/>
    <w:rsid w:val="00451E9B"/>
    <w:rsid w:val="008F015B"/>
    <w:rsid w:val="00EE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65E9B-BA20-4E57-A71E-B3D6C767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1E9B"/>
    <w:pPr>
      <w:suppressAutoHyphens/>
      <w:autoSpaceDN w:val="0"/>
      <w:spacing w:line="244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aliases w:val="Знак сноски-FN,Знак сноски 1,Ciae niinee-FN,Referencia nota al pie,СНОСКА,сноска1,ftref,сноска,fr,Used by Word for Help footnote symbols,Avg - Знак сноски,avg-Знак сноски,ООО Знак сноски,Avg,вески,ХИА_ЗС,SUPERS,Знак сноски1,Знак сноски итог"/>
    <w:basedOn w:val="a0"/>
    <w:uiPriority w:val="99"/>
    <w:qFormat/>
    <w:rsid w:val="00451E9B"/>
    <w:rPr>
      <w:rFonts w:cs="Times New Roman"/>
      <w:position w:val="0"/>
      <w:vertAlign w:val="superscript"/>
    </w:rPr>
  </w:style>
  <w:style w:type="paragraph" w:styleId="a4">
    <w:name w:val="Normal (Web)"/>
    <w:basedOn w:val="a"/>
    <w:uiPriority w:val="99"/>
    <w:semiHidden/>
    <w:unhideWhenUsed/>
    <w:rsid w:val="00451E9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1.bin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UserOC</dc:creator>
  <cp:keywords/>
  <dc:description/>
  <cp:lastModifiedBy>UserOC</cp:lastModifiedBy>
  <cp:revision>2</cp:revision>
  <dcterms:created xsi:type="dcterms:W3CDTF">2019-06-06T12:41:00Z</dcterms:created>
  <dcterms:modified xsi:type="dcterms:W3CDTF">2020-06-16T12:10:00Z</dcterms:modified>
</cp:coreProperties>
</file>